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AC2312"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02AE806A" w:rsidR="00060C29" w:rsidRPr="00D64E17" w:rsidRDefault="00AC2312" w:rsidP="0018335F">
            <w:pPr>
              <w:jc w:val="center"/>
              <w:rPr>
                <w:lang w:val="es-MX"/>
              </w:rPr>
            </w:pPr>
            <w:r>
              <w:rPr>
                <w:color w:val="000000" w:themeColor="text1"/>
                <w:lang w:val="es-MX"/>
              </w:rPr>
              <w:t>13-01-2026</w:t>
            </w:r>
          </w:p>
        </w:tc>
        <w:tc>
          <w:tcPr>
            <w:tcW w:w="8647" w:type="dxa"/>
            <w:vAlign w:val="center"/>
          </w:tcPr>
          <w:p w14:paraId="08EEF1A7" w14:textId="57E6C5FE" w:rsidR="00060C29" w:rsidRPr="00D64E17" w:rsidRDefault="00AC2312" w:rsidP="003E51EA">
            <w:pPr>
              <w:pStyle w:val="Prrafodelista"/>
              <w:numPr>
                <w:ilvl w:val="0"/>
                <w:numId w:val="5"/>
              </w:numPr>
              <w:ind w:left="202" w:hanging="202"/>
              <w:rPr>
                <w:lang w:val="es-MX"/>
              </w:rPr>
            </w:pPr>
            <w:r w:rsidRPr="001B23D4">
              <w:rPr>
                <w:lang w:val="es-MX"/>
              </w:rPr>
              <w:t>Creación inicial del documento conforme a los lineamientos del sistema de administración</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bookmarkStart w:id="0" w:name="_GoBack"/>
      <w:bookmarkEnd w:id="0"/>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AC2312"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AC2312" w:rsidRPr="00C7394E" w:rsidRDefault="00AC2312" w:rsidP="00AC2312">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556D8BAE" w:rsidR="00AC2312" w:rsidRPr="006C1404" w:rsidRDefault="00AC2312" w:rsidP="00AC2312">
            <w:pPr>
              <w:jc w:val="center"/>
              <w:rPr>
                <w:lang w:val="es-MX"/>
              </w:rPr>
            </w:pPr>
            <w:r>
              <w:rPr>
                <w:lang w:val="es-MX"/>
              </w:rPr>
              <w:t>Raúl Galindo</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683B524C" w:rsidR="00AC2312" w:rsidRPr="006C1404" w:rsidRDefault="00AC2312" w:rsidP="00AC2312">
            <w:pPr>
              <w:jc w:val="center"/>
              <w:rPr>
                <w:lang w:val="es-MX"/>
              </w:rPr>
            </w:pPr>
            <w:r>
              <w:rPr>
                <w:lang w:val="es-MX"/>
              </w:rPr>
              <w:t>Romina Barbosa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5DB2A5F4" w:rsidR="00AC2312" w:rsidRPr="006C1404" w:rsidRDefault="00AC2312" w:rsidP="00AC2312">
            <w:pPr>
              <w:jc w:val="center"/>
              <w:rPr>
                <w:lang w:val="es-MX"/>
              </w:rPr>
            </w:pPr>
            <w:r>
              <w:rPr>
                <w:lang w:val="es-MX"/>
              </w:rPr>
              <w:t>David Navarro</w:t>
            </w:r>
          </w:p>
        </w:tc>
      </w:tr>
      <w:tr w:rsidR="00AC2312"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AC2312" w:rsidRPr="00C7394E" w:rsidRDefault="00AC2312" w:rsidP="00AC2312">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657E05D7" w:rsidR="00AC2312" w:rsidRDefault="00AC2312" w:rsidP="00AC2312">
            <w:pPr>
              <w:jc w:val="center"/>
              <w:rPr>
                <w:lang w:val="es-MX"/>
              </w:rPr>
            </w:pPr>
            <w:r w:rsidRPr="00CF085B">
              <w:rPr>
                <w:lang w:val="es-MX"/>
              </w:rPr>
              <w:t>Coordinador Mantenimiento de Cartera</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22A1AE18" w:rsidR="00AC2312" w:rsidRDefault="00AC2312" w:rsidP="00AC2312">
            <w:pPr>
              <w:jc w:val="center"/>
              <w:rPr>
                <w:lang w:val="es-MX"/>
              </w:rPr>
            </w:pPr>
            <w:r w:rsidRPr="00CF085B">
              <w:rPr>
                <w:lang w:val="es-MX"/>
              </w:rPr>
              <w:t>Gerente de Monedero Electrónico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3CA3DED8" w:rsidR="00AC2312" w:rsidRDefault="00AC2312" w:rsidP="00AC2312">
            <w:pPr>
              <w:jc w:val="center"/>
              <w:rPr>
                <w:lang w:val="es-MX"/>
              </w:rPr>
            </w:pPr>
            <w:r w:rsidRPr="008754A9">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5B322A4E" w:rsidR="00BB7846" w:rsidRDefault="00DB73F3" w:rsidP="00DB73F3">
      <w:pPr>
        <w:pStyle w:val="Prrafodelista"/>
        <w:numPr>
          <w:ilvl w:val="1"/>
          <w:numId w:val="2"/>
        </w:numPr>
        <w:jc w:val="both"/>
        <w:rPr>
          <w:rFonts w:cs="Arial"/>
          <w:color w:val="000000"/>
          <w:kern w:val="0"/>
          <w:lang w:val="es-MX" w:eastAsia="es-MX"/>
        </w:rPr>
      </w:pPr>
      <w:r w:rsidRPr="00DB73F3">
        <w:rPr>
          <w:rFonts w:cs="Arial"/>
          <w:color w:val="000000"/>
          <w:kern w:val="0"/>
          <w:lang w:val="es-MX" w:eastAsia="es-MX"/>
        </w:rPr>
        <w:t>Establecer una guía a seguir para controlar la seguridad en el desarrollo de software de la forma adecuada.</w:t>
      </w:r>
    </w:p>
    <w:p w14:paraId="15485933" w14:textId="77777777" w:rsidR="00DB73F3" w:rsidRPr="00DB73F3" w:rsidRDefault="00DB73F3" w:rsidP="00DB73F3">
      <w:pPr>
        <w:pStyle w:val="Prrafodelista"/>
        <w:ind w:left="1080"/>
        <w:rPr>
          <w:rFonts w:cs="Arial"/>
          <w:color w:val="000000"/>
          <w:kern w:val="0"/>
          <w:lang w:val="es-MX" w:eastAsia="es-MX"/>
        </w:rPr>
      </w:pPr>
    </w:p>
    <w:p w14:paraId="18AB005A" w14:textId="77777777" w:rsidR="001E29EA" w:rsidRDefault="00BB7846" w:rsidP="00B772E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3DE7664C" w14:textId="605867B3" w:rsidR="00DD645B" w:rsidRPr="00DD645B" w:rsidRDefault="00DD645B" w:rsidP="00DD645B">
      <w:pPr>
        <w:numPr>
          <w:ilvl w:val="1"/>
          <w:numId w:val="2"/>
        </w:numPr>
        <w:overflowPunct/>
        <w:autoSpaceDE/>
        <w:autoSpaceDN/>
        <w:adjustRightInd/>
        <w:spacing w:before="100" w:beforeAutospacing="1"/>
        <w:jc w:val="both"/>
        <w:textAlignment w:val="auto"/>
        <w:rPr>
          <w:rFonts w:cs="Arial"/>
          <w:lang w:val="es-MX"/>
        </w:rPr>
      </w:pPr>
      <w:r w:rsidRPr="00DD645B">
        <w:rPr>
          <w:rFonts w:cs="Arial"/>
          <w:lang w:val="es-MX"/>
        </w:rPr>
        <w:t xml:space="preserve">Los lineamientos de la presente guía son aplicables para desarrollos internos. </w:t>
      </w:r>
    </w:p>
    <w:p w14:paraId="6564E247" w14:textId="6ACF0DD9" w:rsidR="00DD645B" w:rsidRDefault="00DD645B" w:rsidP="00DD645B">
      <w:pPr>
        <w:numPr>
          <w:ilvl w:val="1"/>
          <w:numId w:val="2"/>
        </w:numPr>
        <w:overflowPunct/>
        <w:autoSpaceDE/>
        <w:autoSpaceDN/>
        <w:adjustRightInd/>
        <w:spacing w:before="60" w:after="60"/>
        <w:ind w:left="1077" w:hanging="357"/>
        <w:jc w:val="both"/>
        <w:textAlignment w:val="auto"/>
        <w:rPr>
          <w:rFonts w:cs="Arial"/>
          <w:lang w:val="es-MX"/>
        </w:rPr>
      </w:pPr>
      <w:r w:rsidRPr="00DD645B">
        <w:rPr>
          <w:rFonts w:cs="Arial"/>
          <w:lang w:val="es-MX"/>
        </w:rPr>
        <w:t>No aplica para desarrollos requeridos a proveedores, ya que la empresa no subcontrata proveedores para desarrollo de software.</w:t>
      </w:r>
    </w:p>
    <w:p w14:paraId="289F4FAC" w14:textId="77777777" w:rsidR="00DD645B" w:rsidRPr="00DD645B" w:rsidRDefault="00DD645B" w:rsidP="00DD645B">
      <w:pPr>
        <w:pStyle w:val="Prrafodelista"/>
        <w:ind w:left="1080"/>
        <w:rPr>
          <w:rFonts w:cs="Arial"/>
          <w:lang w:val="es-MX"/>
        </w:rPr>
      </w:pPr>
    </w:p>
    <w:p w14:paraId="20A15F51" w14:textId="2CDC4AEA" w:rsidR="00BD7A76" w:rsidRPr="00BD7A76" w:rsidRDefault="009C2BF7" w:rsidP="00B772EE">
      <w:pPr>
        <w:pStyle w:val="Encabezado"/>
        <w:numPr>
          <w:ilvl w:val="0"/>
          <w:numId w:val="2"/>
        </w:numPr>
        <w:tabs>
          <w:tab w:val="clear" w:pos="4320"/>
          <w:tab w:val="clear" w:pos="8640"/>
        </w:tabs>
        <w:spacing w:beforeLines="50" w:before="120" w:afterLines="50" w:after="120"/>
        <w:jc w:val="both"/>
        <w:rPr>
          <w:rFonts w:cs="Arial"/>
          <w:b/>
          <w:bCs/>
          <w:lang w:val="es-MX"/>
        </w:rPr>
      </w:pPr>
      <w:r>
        <w:rPr>
          <w:rFonts w:cs="Arial"/>
          <w:b/>
          <w:bCs/>
          <w:sz w:val="22"/>
          <w:lang w:val="es-MX"/>
        </w:rPr>
        <w:t>Desarrollo</w:t>
      </w:r>
    </w:p>
    <w:p w14:paraId="34AC1326" w14:textId="19B8BB2A" w:rsidR="00CC5AAA" w:rsidRPr="00CC5AAA" w:rsidRDefault="00254B2A" w:rsidP="004F3E01">
      <w:pPr>
        <w:pStyle w:val="Prrafodelista"/>
        <w:numPr>
          <w:ilvl w:val="1"/>
          <w:numId w:val="2"/>
        </w:numPr>
        <w:jc w:val="both"/>
        <w:rPr>
          <w:lang w:val="es-MX"/>
        </w:rPr>
      </w:pPr>
      <w:r w:rsidRPr="00254B2A">
        <w:rPr>
          <w:lang w:val="es-MX"/>
        </w:rPr>
        <w:t xml:space="preserve">Ciclo de vida de desarrollo de software seguro (S- SDLC), refiere a los modelos  desarrollo  que sistemáticamente implementan prácticas de actividades relativas a la seguridad de software, esto durante todo el ciclo de desarrollo que aplique (ver </w:t>
      </w:r>
      <w:r w:rsidR="00AC2312">
        <w:rPr>
          <w:b/>
          <w:bCs/>
          <w:lang w:val="es-MX"/>
        </w:rPr>
        <w:t>SF</w:t>
      </w:r>
      <w:r w:rsidR="004F3E01" w:rsidRPr="004F3E01">
        <w:rPr>
          <w:b/>
          <w:bCs/>
          <w:lang w:val="es-MX"/>
        </w:rPr>
        <w:t xml:space="preserve">-G-01 </w:t>
      </w:r>
      <w:r w:rsidRPr="00254B2A">
        <w:rPr>
          <w:b/>
          <w:bCs/>
          <w:lang w:val="es-MX"/>
        </w:rPr>
        <w:t>Guía de modelo para ciclo de vida</w:t>
      </w:r>
      <w:r w:rsidRPr="00254B2A">
        <w:rPr>
          <w:lang w:val="es-MX"/>
        </w:rPr>
        <w:t>), de manera que las vulnerabilidades  y su corrección se puedan descubrir y reducir de manera temprana, incorporando las actividades de garantía de seguridad la revisión de código, entre otras,  sean una parte integral del esfuerzo de desarrollo.</w:t>
      </w:r>
    </w:p>
    <w:p w14:paraId="0F620AB4" w14:textId="1A32B985" w:rsidR="00CC5AAA" w:rsidRPr="00CC5AAA" w:rsidRDefault="0038413F" w:rsidP="00CC5AAA">
      <w:pPr>
        <w:jc w:val="both"/>
        <w:rPr>
          <w:lang w:val="es-MX"/>
        </w:rPr>
      </w:pPr>
      <w:r>
        <w:rPr>
          <w:noProof/>
          <w:lang w:val="es-MX" w:eastAsia="es-MX"/>
        </w:rPr>
        <w:drawing>
          <wp:anchor distT="0" distB="0" distL="114300" distR="114300" simplePos="0" relativeHeight="251659264" behindDoc="0" locked="0" layoutInCell="1" allowOverlap="1" wp14:anchorId="60B2D489" wp14:editId="4E9B8777">
            <wp:simplePos x="0" y="0"/>
            <wp:positionH relativeFrom="margin">
              <wp:align>center</wp:align>
            </wp:positionH>
            <wp:positionV relativeFrom="paragraph">
              <wp:posOffset>39700</wp:posOffset>
            </wp:positionV>
            <wp:extent cx="4418330" cy="2665730"/>
            <wp:effectExtent l="0" t="0" r="1270" b="1270"/>
            <wp:wrapSquare wrapText="bothSides"/>
            <wp:docPr id="2" name="Imagen 2" descr="Gráfico, Gráfico radia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 Gráfico radial&#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8330" cy="2665730"/>
                    </a:xfrm>
                    <a:prstGeom prst="rect">
                      <a:avLst/>
                    </a:prstGeom>
                    <a:noFill/>
                  </pic:spPr>
                </pic:pic>
              </a:graphicData>
            </a:graphic>
            <wp14:sizeRelH relativeFrom="margin">
              <wp14:pctWidth>0</wp14:pctWidth>
            </wp14:sizeRelH>
            <wp14:sizeRelV relativeFrom="margin">
              <wp14:pctHeight>0</wp14:pctHeight>
            </wp14:sizeRelV>
          </wp:anchor>
        </w:drawing>
      </w:r>
    </w:p>
    <w:p w14:paraId="4980A82D" w14:textId="77777777" w:rsidR="00CC5AAA" w:rsidRDefault="00CC5AAA" w:rsidP="00C1668D">
      <w:pPr>
        <w:rPr>
          <w:lang w:val="es-MX"/>
        </w:rPr>
      </w:pPr>
    </w:p>
    <w:p w14:paraId="77078CE2" w14:textId="77777777" w:rsidR="00C1668D" w:rsidRDefault="00C1668D" w:rsidP="00C1668D">
      <w:pPr>
        <w:rPr>
          <w:lang w:val="es-MX"/>
        </w:rPr>
      </w:pPr>
    </w:p>
    <w:p w14:paraId="6C61A863" w14:textId="77777777" w:rsidR="00C1668D" w:rsidRDefault="00C1668D" w:rsidP="00C1668D">
      <w:pPr>
        <w:rPr>
          <w:lang w:val="es-MX"/>
        </w:rPr>
      </w:pPr>
    </w:p>
    <w:p w14:paraId="1D3C054E" w14:textId="77777777" w:rsidR="00C1668D" w:rsidRDefault="00C1668D" w:rsidP="00C1668D">
      <w:pPr>
        <w:rPr>
          <w:lang w:val="es-MX"/>
        </w:rPr>
      </w:pPr>
    </w:p>
    <w:p w14:paraId="12B2C868" w14:textId="77777777" w:rsidR="00C1668D" w:rsidRDefault="00C1668D" w:rsidP="00C1668D">
      <w:pPr>
        <w:rPr>
          <w:lang w:val="es-MX"/>
        </w:rPr>
      </w:pPr>
    </w:p>
    <w:p w14:paraId="0D50EA99" w14:textId="77777777" w:rsidR="00C1668D" w:rsidRDefault="00C1668D" w:rsidP="00C1668D">
      <w:pPr>
        <w:rPr>
          <w:lang w:val="es-MX"/>
        </w:rPr>
      </w:pPr>
    </w:p>
    <w:p w14:paraId="083BC79C" w14:textId="77777777" w:rsidR="00C1668D" w:rsidRDefault="00C1668D" w:rsidP="00C1668D">
      <w:pPr>
        <w:rPr>
          <w:lang w:val="es-MX"/>
        </w:rPr>
      </w:pPr>
    </w:p>
    <w:p w14:paraId="617C2372" w14:textId="77777777" w:rsidR="00C1668D" w:rsidRDefault="00C1668D" w:rsidP="00C1668D">
      <w:pPr>
        <w:rPr>
          <w:lang w:val="es-MX"/>
        </w:rPr>
      </w:pPr>
    </w:p>
    <w:p w14:paraId="340F59AA" w14:textId="77777777" w:rsidR="00C1668D" w:rsidRDefault="00C1668D" w:rsidP="00C1668D">
      <w:pPr>
        <w:rPr>
          <w:lang w:val="es-MX"/>
        </w:rPr>
      </w:pPr>
    </w:p>
    <w:p w14:paraId="440CC84A" w14:textId="77777777" w:rsidR="00C1668D" w:rsidRDefault="00C1668D" w:rsidP="00C1668D">
      <w:pPr>
        <w:rPr>
          <w:lang w:val="es-MX"/>
        </w:rPr>
      </w:pPr>
    </w:p>
    <w:p w14:paraId="154B8CF8" w14:textId="77777777" w:rsidR="00C1668D" w:rsidRDefault="00C1668D" w:rsidP="00C1668D">
      <w:pPr>
        <w:rPr>
          <w:lang w:val="es-MX"/>
        </w:rPr>
      </w:pPr>
    </w:p>
    <w:p w14:paraId="57D74F66" w14:textId="77777777" w:rsidR="00C1668D" w:rsidRDefault="00C1668D" w:rsidP="00C1668D">
      <w:pPr>
        <w:rPr>
          <w:lang w:val="es-MX"/>
        </w:rPr>
      </w:pPr>
    </w:p>
    <w:p w14:paraId="7EA2D191" w14:textId="77777777" w:rsidR="00C1668D" w:rsidRDefault="00C1668D" w:rsidP="00C1668D">
      <w:pPr>
        <w:rPr>
          <w:lang w:val="es-MX"/>
        </w:rPr>
      </w:pPr>
    </w:p>
    <w:p w14:paraId="31B31BA8" w14:textId="77777777" w:rsidR="00C1668D" w:rsidRDefault="00C1668D" w:rsidP="00C1668D">
      <w:pPr>
        <w:rPr>
          <w:lang w:val="es-MX"/>
        </w:rPr>
      </w:pPr>
    </w:p>
    <w:p w14:paraId="7FD3DBD0" w14:textId="77777777" w:rsidR="00C1668D" w:rsidRDefault="00C1668D" w:rsidP="00C1668D">
      <w:pPr>
        <w:rPr>
          <w:lang w:val="es-MX"/>
        </w:rPr>
      </w:pPr>
    </w:p>
    <w:p w14:paraId="33B7A1B6" w14:textId="77777777" w:rsidR="00C1668D" w:rsidRDefault="00C1668D" w:rsidP="00C1668D">
      <w:pPr>
        <w:rPr>
          <w:lang w:val="es-MX"/>
        </w:rPr>
      </w:pPr>
    </w:p>
    <w:p w14:paraId="398BB320" w14:textId="77777777" w:rsidR="00C1668D" w:rsidRDefault="00C1668D" w:rsidP="00C1668D">
      <w:pPr>
        <w:rPr>
          <w:lang w:val="es-MX"/>
        </w:rPr>
      </w:pPr>
    </w:p>
    <w:p w14:paraId="6C2176D1" w14:textId="77777777" w:rsidR="00C1668D" w:rsidRDefault="00C1668D" w:rsidP="00C1668D">
      <w:pPr>
        <w:rPr>
          <w:lang w:val="es-MX"/>
        </w:rPr>
      </w:pPr>
    </w:p>
    <w:p w14:paraId="300952C6" w14:textId="79F016DA" w:rsidR="00C1668D" w:rsidRDefault="007C0766" w:rsidP="00C1668D">
      <w:pPr>
        <w:rPr>
          <w:lang w:val="es-MX"/>
        </w:rPr>
      </w:pPr>
      <w:r>
        <w:rPr>
          <w:noProof/>
          <w:lang w:val="es-MX" w:eastAsia="es-MX"/>
        </w:rPr>
        <w:drawing>
          <wp:anchor distT="0" distB="0" distL="114300" distR="114300" simplePos="0" relativeHeight="251661312" behindDoc="0" locked="0" layoutInCell="1" allowOverlap="1" wp14:anchorId="19BA1CE2" wp14:editId="291C2C1D">
            <wp:simplePos x="0" y="0"/>
            <wp:positionH relativeFrom="margin">
              <wp:align>center</wp:align>
            </wp:positionH>
            <wp:positionV relativeFrom="paragraph">
              <wp:posOffset>6350</wp:posOffset>
            </wp:positionV>
            <wp:extent cx="5273675" cy="1875155"/>
            <wp:effectExtent l="0" t="0" r="3175" b="0"/>
            <wp:wrapSquare wrapText="bothSides"/>
            <wp:docPr id="4" name="Imagen 4"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3675" cy="1875155"/>
                    </a:xfrm>
                    <a:prstGeom prst="rect">
                      <a:avLst/>
                    </a:prstGeom>
                    <a:noFill/>
                  </pic:spPr>
                </pic:pic>
              </a:graphicData>
            </a:graphic>
            <wp14:sizeRelH relativeFrom="margin">
              <wp14:pctWidth>0</wp14:pctWidth>
            </wp14:sizeRelH>
            <wp14:sizeRelV relativeFrom="margin">
              <wp14:pctHeight>0</wp14:pctHeight>
            </wp14:sizeRelV>
          </wp:anchor>
        </w:drawing>
      </w:r>
    </w:p>
    <w:p w14:paraId="0FEE2D7A" w14:textId="106E7E4D" w:rsidR="00C1668D" w:rsidRDefault="00C1668D" w:rsidP="00C1668D">
      <w:pPr>
        <w:rPr>
          <w:lang w:val="es-MX"/>
        </w:rPr>
      </w:pPr>
    </w:p>
    <w:p w14:paraId="790BBD3F" w14:textId="77B33829" w:rsidR="00C1668D" w:rsidRDefault="00C1668D" w:rsidP="00C1668D">
      <w:pPr>
        <w:rPr>
          <w:lang w:val="es-MX"/>
        </w:rPr>
      </w:pPr>
    </w:p>
    <w:p w14:paraId="7DB541FF" w14:textId="77777777" w:rsidR="00C1668D" w:rsidRDefault="00C1668D" w:rsidP="00C1668D">
      <w:pPr>
        <w:rPr>
          <w:lang w:val="es-MX"/>
        </w:rPr>
      </w:pPr>
    </w:p>
    <w:p w14:paraId="1A664D70" w14:textId="77777777" w:rsidR="00C1668D" w:rsidRDefault="00C1668D" w:rsidP="00C1668D">
      <w:pPr>
        <w:rPr>
          <w:lang w:val="es-MX"/>
        </w:rPr>
      </w:pPr>
    </w:p>
    <w:p w14:paraId="0BF4A00F" w14:textId="77777777" w:rsidR="00C1668D" w:rsidRDefault="00C1668D" w:rsidP="00C1668D">
      <w:pPr>
        <w:rPr>
          <w:lang w:val="es-MX"/>
        </w:rPr>
      </w:pPr>
    </w:p>
    <w:p w14:paraId="05BBB443" w14:textId="77777777" w:rsidR="00C1668D" w:rsidRDefault="00C1668D" w:rsidP="00C1668D">
      <w:pPr>
        <w:rPr>
          <w:lang w:val="es-MX"/>
        </w:rPr>
      </w:pPr>
    </w:p>
    <w:p w14:paraId="3536A447" w14:textId="77777777" w:rsidR="00C1668D" w:rsidRDefault="00C1668D" w:rsidP="00C1668D">
      <w:pPr>
        <w:rPr>
          <w:lang w:val="es-MX"/>
        </w:rPr>
      </w:pPr>
    </w:p>
    <w:p w14:paraId="671FC916" w14:textId="77777777" w:rsidR="00C1668D" w:rsidRDefault="00C1668D" w:rsidP="00C1668D">
      <w:pPr>
        <w:rPr>
          <w:lang w:val="es-MX"/>
        </w:rPr>
      </w:pPr>
    </w:p>
    <w:p w14:paraId="3EECFC01" w14:textId="77777777" w:rsidR="00C1668D" w:rsidRDefault="00C1668D" w:rsidP="00C1668D">
      <w:pPr>
        <w:rPr>
          <w:lang w:val="es-MX"/>
        </w:rPr>
      </w:pPr>
    </w:p>
    <w:p w14:paraId="3E3660B6" w14:textId="4960F858" w:rsidR="00C1668D" w:rsidRDefault="00C1668D" w:rsidP="00C1668D">
      <w:pPr>
        <w:rPr>
          <w:lang w:val="es-MX"/>
        </w:rPr>
      </w:pPr>
    </w:p>
    <w:p w14:paraId="0988DBD8" w14:textId="2C783E00" w:rsidR="00C1668D" w:rsidRDefault="00C1668D" w:rsidP="00C1668D">
      <w:pPr>
        <w:rPr>
          <w:lang w:val="es-MX"/>
        </w:rPr>
      </w:pPr>
    </w:p>
    <w:p w14:paraId="189D7A0B" w14:textId="77777777" w:rsidR="00C1668D" w:rsidRDefault="00C1668D" w:rsidP="00C1668D">
      <w:pPr>
        <w:rPr>
          <w:lang w:val="es-MX"/>
        </w:rPr>
      </w:pPr>
    </w:p>
    <w:p w14:paraId="2DE02B84" w14:textId="12CE7D2D" w:rsidR="00C1668D" w:rsidRPr="007C0766" w:rsidRDefault="007C0766" w:rsidP="007C0766">
      <w:pPr>
        <w:jc w:val="center"/>
        <w:rPr>
          <w:i/>
          <w:iCs/>
          <w:sz w:val="15"/>
          <w:szCs w:val="15"/>
          <w:lang w:val="es-MX"/>
        </w:rPr>
      </w:pPr>
      <w:r w:rsidRPr="007C0766">
        <w:rPr>
          <w:i/>
          <w:iCs/>
          <w:sz w:val="15"/>
          <w:szCs w:val="15"/>
          <w:lang w:val="es-MX"/>
        </w:rPr>
        <w:t>Grafico 2 Ejemplo Metodologías de Desarrollo de Software Seguro</w:t>
      </w:r>
    </w:p>
    <w:p w14:paraId="40FE1BBE" w14:textId="77777777" w:rsidR="00184698" w:rsidRDefault="00184698" w:rsidP="00184698">
      <w:pPr>
        <w:pStyle w:val="Prrafodelista"/>
        <w:ind w:left="1080"/>
        <w:rPr>
          <w:lang w:val="es-MX"/>
        </w:rPr>
      </w:pPr>
    </w:p>
    <w:p w14:paraId="19987B17" w14:textId="17FC315B" w:rsidR="00184698" w:rsidRPr="00184698" w:rsidRDefault="00184698" w:rsidP="00184698">
      <w:pPr>
        <w:pStyle w:val="Prrafodelista"/>
        <w:numPr>
          <w:ilvl w:val="1"/>
          <w:numId w:val="2"/>
        </w:numPr>
        <w:rPr>
          <w:b/>
          <w:bCs/>
          <w:lang w:val="es-MX"/>
        </w:rPr>
      </w:pPr>
      <w:r w:rsidRPr="00184698">
        <w:rPr>
          <w:b/>
          <w:bCs/>
          <w:lang w:val="es-MX"/>
        </w:rPr>
        <w:lastRenderedPageBreak/>
        <w:t>Actividades de Lineamientos de Seguridad para Desarrollos de Software.</w:t>
      </w:r>
    </w:p>
    <w:p w14:paraId="6B244C93" w14:textId="30FE4D35" w:rsidR="007C1750" w:rsidRDefault="007C1750" w:rsidP="007C1750">
      <w:pPr>
        <w:pStyle w:val="Prrafodelista"/>
        <w:numPr>
          <w:ilvl w:val="2"/>
          <w:numId w:val="2"/>
        </w:numPr>
        <w:jc w:val="both"/>
        <w:rPr>
          <w:lang w:val="es-MX"/>
        </w:rPr>
      </w:pPr>
      <w:r w:rsidRPr="007C1750">
        <w:rPr>
          <w:lang w:val="es-MX"/>
        </w:rPr>
        <w:t xml:space="preserve">La actividad de seguridad para desarrollos adopta las practicas del modelo </w:t>
      </w:r>
      <w:r w:rsidRPr="007C1750">
        <w:rPr>
          <w:b/>
          <w:bCs/>
          <w:lang w:val="es-MX"/>
        </w:rPr>
        <w:t>Open Web Application Security Project (OWASP)</w:t>
      </w:r>
      <w:r w:rsidRPr="007C1750">
        <w:rPr>
          <w:lang w:val="es-MX"/>
        </w:rPr>
        <w:t xml:space="preserve"> publicadas en </w:t>
      </w:r>
      <w:hyperlink r:id="rId12" w:history="1">
        <w:r w:rsidR="006B4925" w:rsidRPr="009775E0">
          <w:rPr>
            <w:rStyle w:val="Hipervnculo"/>
            <w:lang w:val="es-MX"/>
          </w:rPr>
          <w:t>https://owasp.org/</w:t>
        </w:r>
      </w:hyperlink>
      <w:r w:rsidR="006B4925">
        <w:rPr>
          <w:lang w:val="es-MX"/>
        </w:rPr>
        <w:t>,</w:t>
      </w:r>
      <w:r w:rsidRPr="007C1750">
        <w:rPr>
          <w:lang w:val="es-MX"/>
        </w:rPr>
        <w:t xml:space="preserve"> el cual cuenta con la guía de referencia rápida de prácticas de codificación segura es un conjunto de prácticas generales de codificación de seguridad de software independiente de la tecnología, en un formato de lista de verificación integral, que se puede integrar en el ciclo de vida del desarrollo:</w:t>
      </w:r>
    </w:p>
    <w:p w14:paraId="280AA5F1" w14:textId="77777777" w:rsidR="00B608B4" w:rsidRDefault="00B608B4" w:rsidP="00B608B4">
      <w:pPr>
        <w:pStyle w:val="Prrafodelista"/>
        <w:ind w:left="1800"/>
        <w:jc w:val="both"/>
        <w:rPr>
          <w:lang w:val="es-MX"/>
        </w:rPr>
      </w:pPr>
    </w:p>
    <w:p w14:paraId="24BDBFA4" w14:textId="5B1EB073" w:rsidR="00B608B4" w:rsidRPr="00B608B4" w:rsidRDefault="00B608B4" w:rsidP="00B608B4">
      <w:pPr>
        <w:pStyle w:val="Prrafodelista"/>
        <w:numPr>
          <w:ilvl w:val="0"/>
          <w:numId w:val="12"/>
        </w:numPr>
        <w:rPr>
          <w:lang w:val="es-MX"/>
        </w:rPr>
      </w:pPr>
      <w:r w:rsidRPr="00B608B4">
        <w:rPr>
          <w:lang w:val="es-MX"/>
        </w:rPr>
        <w:t xml:space="preserve">Prácticas de codificación segura </w:t>
      </w:r>
      <w:r w:rsidRPr="00B608B4">
        <w:rPr>
          <w:rStyle w:val="Hipervnculo"/>
          <w:lang w:val="es-MX"/>
        </w:rPr>
        <w:t>OWASP SCP Quick Reference Guide</w:t>
      </w:r>
      <w:r w:rsidRPr="00B608B4">
        <w:rPr>
          <w:lang w:val="es-MX"/>
        </w:rPr>
        <w:t xml:space="preserve"> </w:t>
      </w:r>
      <w:hyperlink r:id="rId13" w:history="1">
        <w:r w:rsidRPr="009775E0">
          <w:rPr>
            <w:rStyle w:val="Hipervnculo"/>
            <w:lang w:val="es-MX"/>
          </w:rPr>
          <w:t>https://owasp.org/www-pdf-archive/OWASP_SCP_Quick_Reference_Guide_v2.pdf</w:t>
        </w:r>
      </w:hyperlink>
    </w:p>
    <w:p w14:paraId="4B1CCBFF" w14:textId="77777777" w:rsidR="006B4925" w:rsidRPr="00B608B4" w:rsidRDefault="006B4925" w:rsidP="00B608B4">
      <w:pPr>
        <w:jc w:val="both"/>
        <w:rPr>
          <w:lang w:val="es-MX"/>
        </w:rPr>
      </w:pPr>
    </w:p>
    <w:p w14:paraId="559F88BD" w14:textId="07029FBE" w:rsidR="00655C68" w:rsidRPr="006707C5" w:rsidRDefault="006707C5" w:rsidP="006707C5">
      <w:pPr>
        <w:numPr>
          <w:ilvl w:val="1"/>
          <w:numId w:val="2"/>
        </w:numPr>
        <w:overflowPunct/>
        <w:autoSpaceDE/>
        <w:autoSpaceDN/>
        <w:adjustRightInd/>
        <w:spacing w:before="100" w:beforeAutospacing="1" w:after="240"/>
        <w:jc w:val="both"/>
        <w:textAlignment w:val="auto"/>
        <w:rPr>
          <w:b/>
          <w:bCs/>
          <w:lang w:val="es-MX"/>
        </w:rPr>
      </w:pPr>
      <w:r w:rsidRPr="006707C5">
        <w:rPr>
          <w:b/>
          <w:bCs/>
          <w:lang w:val="es-MX"/>
        </w:rPr>
        <w:t>Principales riesgos de seguridad web.</w:t>
      </w:r>
    </w:p>
    <w:p w14:paraId="4FA5AD0B" w14:textId="5D4021A0" w:rsidR="007776C1" w:rsidRDefault="007776C1" w:rsidP="007776C1">
      <w:pPr>
        <w:pStyle w:val="Prrafodelista"/>
        <w:numPr>
          <w:ilvl w:val="2"/>
          <w:numId w:val="2"/>
        </w:numPr>
        <w:jc w:val="both"/>
        <w:rPr>
          <w:lang w:val="es-MX"/>
        </w:rPr>
      </w:pPr>
      <w:r w:rsidRPr="007776C1">
        <w:rPr>
          <w:lang w:val="es-MX"/>
        </w:rPr>
        <w:t xml:space="preserve">Por la compatibilidad de las herramientas de desarrollo implementadas por la empresa GitHub, se adopta como referencia la evaluación de los principales riesgos de seguridad publicadas en  </w:t>
      </w:r>
      <w:hyperlink r:id="rId14" w:history="1">
        <w:r w:rsidRPr="009775E0">
          <w:rPr>
            <w:rStyle w:val="Hipervnculo"/>
            <w:lang w:val="es-MX"/>
          </w:rPr>
          <w:t>https://owasp.org/Top10/</w:t>
        </w:r>
      </w:hyperlink>
      <w:r>
        <w:rPr>
          <w:lang w:val="es-MX"/>
        </w:rPr>
        <w:t xml:space="preserve"> </w:t>
      </w:r>
      <w:r w:rsidRPr="007776C1">
        <w:rPr>
          <w:lang w:val="es-MX"/>
        </w:rPr>
        <w:t>aplicables de proyectos web, para seleccionar e implementar medidas de prevención a dichas vulnerabilidades.</w:t>
      </w:r>
    </w:p>
    <w:p w14:paraId="1605F3BB" w14:textId="0056CD12" w:rsidR="009A64CA" w:rsidRPr="009A64CA" w:rsidRDefault="009A64CA" w:rsidP="009A64CA">
      <w:pPr>
        <w:jc w:val="both"/>
        <w:rPr>
          <w:lang w:val="es-MX"/>
        </w:rPr>
      </w:pPr>
      <w:r w:rsidRPr="00895E38">
        <w:rPr>
          <w:noProof/>
          <w:lang w:val="es-MX" w:eastAsia="es-MX"/>
        </w:rPr>
        <w:drawing>
          <wp:anchor distT="0" distB="0" distL="114300" distR="114300" simplePos="0" relativeHeight="251663360" behindDoc="0" locked="0" layoutInCell="1" allowOverlap="1" wp14:anchorId="3834E5EB" wp14:editId="6F4FEF62">
            <wp:simplePos x="0" y="0"/>
            <wp:positionH relativeFrom="margin">
              <wp:align>right</wp:align>
            </wp:positionH>
            <wp:positionV relativeFrom="paragraph">
              <wp:posOffset>102159</wp:posOffset>
            </wp:positionV>
            <wp:extent cx="6480175" cy="2400300"/>
            <wp:effectExtent l="0" t="0" r="0" b="0"/>
            <wp:wrapSquare wrapText="bothSides"/>
            <wp:docPr id="5" name="Imagen 5"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Gráfico&#10;&#10;El contenido generado por IA puede ser incorrecto."/>
                    <pic:cNvPicPr/>
                  </pic:nvPicPr>
                  <pic:blipFill>
                    <a:blip r:embed="rId15">
                      <a:extLst>
                        <a:ext uri="{28A0092B-C50C-407E-A947-70E740481C1C}">
                          <a14:useLocalDpi xmlns:a14="http://schemas.microsoft.com/office/drawing/2010/main" val="0"/>
                        </a:ext>
                      </a:extLst>
                    </a:blip>
                    <a:stretch>
                      <a:fillRect/>
                    </a:stretch>
                  </pic:blipFill>
                  <pic:spPr>
                    <a:xfrm>
                      <a:off x="0" y="0"/>
                      <a:ext cx="6480175" cy="2400300"/>
                    </a:xfrm>
                    <a:prstGeom prst="rect">
                      <a:avLst/>
                    </a:prstGeom>
                  </pic:spPr>
                </pic:pic>
              </a:graphicData>
            </a:graphic>
            <wp14:sizeRelH relativeFrom="margin">
              <wp14:pctWidth>0</wp14:pctWidth>
            </wp14:sizeRelH>
            <wp14:sizeRelV relativeFrom="margin">
              <wp14:pctHeight>0</wp14:pctHeight>
            </wp14:sizeRelV>
          </wp:anchor>
        </w:drawing>
      </w:r>
    </w:p>
    <w:p w14:paraId="7967DFA7" w14:textId="18EE9DFE" w:rsidR="00176055" w:rsidRPr="00176055" w:rsidRDefault="00176055" w:rsidP="00176055">
      <w:pPr>
        <w:numPr>
          <w:ilvl w:val="3"/>
          <w:numId w:val="2"/>
        </w:numPr>
        <w:overflowPunct/>
        <w:autoSpaceDE/>
        <w:autoSpaceDN/>
        <w:adjustRightInd/>
        <w:spacing w:before="100" w:beforeAutospacing="1" w:after="240"/>
        <w:jc w:val="both"/>
        <w:textAlignment w:val="auto"/>
        <w:rPr>
          <w:lang w:val="es-MX"/>
        </w:rPr>
      </w:pPr>
      <w:r w:rsidRPr="00176055">
        <w:rPr>
          <w:b/>
          <w:bCs/>
          <w:lang w:val="es-MX"/>
        </w:rPr>
        <w:t>Broken Access Control.</w:t>
      </w:r>
      <w:r w:rsidRPr="00176055">
        <w:rPr>
          <w:lang w:val="es-MX"/>
        </w:rPr>
        <w:t xml:space="preserve"> Falla o una ausencia de mecanismos de control de acceso, le permite a un usuario acceder a un recurso que está fuera de sus permisos previstos. Las fallas generalmente conducen a la divulgación, modificación o destrucción no autorizada de todos los datos o a la realización de una función de negocios fuera de los límites del usuario.</w:t>
      </w:r>
    </w:p>
    <w:p w14:paraId="00D6F8F8" w14:textId="3B268127" w:rsidR="00176055" w:rsidRPr="00176055" w:rsidRDefault="00176055" w:rsidP="00176055">
      <w:pPr>
        <w:numPr>
          <w:ilvl w:val="3"/>
          <w:numId w:val="2"/>
        </w:numPr>
        <w:overflowPunct/>
        <w:autoSpaceDE/>
        <w:autoSpaceDN/>
        <w:adjustRightInd/>
        <w:spacing w:before="100" w:beforeAutospacing="1" w:after="240"/>
        <w:jc w:val="both"/>
        <w:textAlignment w:val="auto"/>
        <w:rPr>
          <w:lang w:val="es-MX"/>
        </w:rPr>
      </w:pPr>
      <w:r w:rsidRPr="00176055">
        <w:rPr>
          <w:b/>
          <w:bCs/>
          <w:lang w:val="es-MX"/>
        </w:rPr>
        <w:t xml:space="preserve">Cryptographic Failures. </w:t>
      </w:r>
      <w:r w:rsidRPr="00176055">
        <w:rPr>
          <w:lang w:val="es-MX"/>
        </w:rPr>
        <w:t xml:space="preserve">Fallos criptográficos anteriormente conocido como exposición de datos sensibles, relacionado a las fallas en la criptografía que a menudo conduce a la exposición de datos confidenciales. </w:t>
      </w:r>
    </w:p>
    <w:p w14:paraId="48285CA3" w14:textId="345408EB" w:rsidR="00176055" w:rsidRPr="00176055" w:rsidRDefault="00176055" w:rsidP="00176055">
      <w:pPr>
        <w:numPr>
          <w:ilvl w:val="3"/>
          <w:numId w:val="2"/>
        </w:numPr>
        <w:overflowPunct/>
        <w:autoSpaceDE/>
        <w:autoSpaceDN/>
        <w:adjustRightInd/>
        <w:spacing w:before="100" w:beforeAutospacing="1" w:after="240"/>
        <w:jc w:val="both"/>
        <w:textAlignment w:val="auto"/>
        <w:rPr>
          <w:lang w:val="es-MX"/>
        </w:rPr>
      </w:pPr>
      <w:r w:rsidRPr="00176055">
        <w:rPr>
          <w:b/>
          <w:bCs/>
          <w:lang w:val="es-MX"/>
        </w:rPr>
        <w:t>Injection.</w:t>
      </w:r>
      <w:r w:rsidRPr="00176055">
        <w:rPr>
          <w:lang w:val="es-MX"/>
        </w:rPr>
        <w:t xml:space="preserve"> Command Injection (o inyección de comandos) es una vulnerabilidad que permite a un atacante inyectar y ejecutar comandos directamente en el sistema operativo en el que se ejecuta tu aplicación.  Las fallas de inyección, como SQL, NoSQL, OS o LDAP ocurren cuando se envían datos no confiables a un intérprete, como parte de un comando o consulta.</w:t>
      </w:r>
    </w:p>
    <w:p w14:paraId="160545AD" w14:textId="23A22D80" w:rsidR="00176055" w:rsidRPr="00176055" w:rsidRDefault="00176055" w:rsidP="00176055">
      <w:pPr>
        <w:numPr>
          <w:ilvl w:val="3"/>
          <w:numId w:val="2"/>
        </w:numPr>
        <w:overflowPunct/>
        <w:autoSpaceDE/>
        <w:autoSpaceDN/>
        <w:adjustRightInd/>
        <w:spacing w:before="100" w:beforeAutospacing="1" w:after="240"/>
        <w:jc w:val="both"/>
        <w:textAlignment w:val="auto"/>
        <w:rPr>
          <w:lang w:val="es-MX"/>
        </w:rPr>
      </w:pPr>
      <w:r w:rsidRPr="00176055">
        <w:rPr>
          <w:b/>
          <w:bCs/>
          <w:lang w:val="es-MX"/>
        </w:rPr>
        <w:t>Insecure Design.</w:t>
      </w:r>
      <w:r w:rsidRPr="00176055">
        <w:rPr>
          <w:lang w:val="es-MX"/>
        </w:rPr>
        <w:t xml:space="preserve"> La categoría diseño inseguro con un enfoque en los riesgos relacionados con fallas de diseño, que requiere un mayor uso del modelado de amenazas, patrones y principios de diseño seguros y arquitecturas de referencia. Uno de los factores que contribuyen al diseño </w:t>
      </w:r>
      <w:r w:rsidRPr="00176055">
        <w:rPr>
          <w:lang w:val="es-MX"/>
        </w:rPr>
        <w:lastRenderedPageBreak/>
        <w:t>inseguro es la falta de perfiles de riesgo empresarial inherentes al software o sistema que se está desarrollando.</w:t>
      </w:r>
    </w:p>
    <w:p w14:paraId="60036BA5" w14:textId="3958907A" w:rsidR="00176055" w:rsidRPr="00176055" w:rsidRDefault="00176055" w:rsidP="00176055">
      <w:pPr>
        <w:numPr>
          <w:ilvl w:val="3"/>
          <w:numId w:val="2"/>
        </w:numPr>
        <w:overflowPunct/>
        <w:autoSpaceDE/>
        <w:autoSpaceDN/>
        <w:adjustRightInd/>
        <w:spacing w:before="100" w:beforeAutospacing="1" w:after="240"/>
        <w:jc w:val="both"/>
        <w:textAlignment w:val="auto"/>
        <w:rPr>
          <w:lang w:val="es-MX"/>
        </w:rPr>
      </w:pPr>
      <w:r w:rsidRPr="00176055">
        <w:rPr>
          <w:b/>
          <w:bCs/>
          <w:lang w:val="es-MX"/>
        </w:rPr>
        <w:t>Security Misconfiguration.</w:t>
      </w:r>
      <w:r w:rsidRPr="00176055">
        <w:rPr>
          <w:lang w:val="es-MX"/>
        </w:rPr>
        <w:t xml:space="preserve"> Error de configuración de seguridad es la categoría anterior de entidades externas XML. Por ejemplo, la falta de refuerzo de seguridad adecuado en cualquier parte de la pila de aplicaciones o permisos configurados incorrectamente en los servicios en la nube, si se habilitan o instalan funciones innecesarias (p. ej., puertos, servicios, páginas, cuentas o privilegios innecesarios), etc. Sin un proceso de configuración de seguridad de aplicaciones concertado y repetible, los sistemas corren un mayor riesgo.</w:t>
      </w:r>
    </w:p>
    <w:p w14:paraId="4DBDC160" w14:textId="5F75E949" w:rsidR="00176055" w:rsidRPr="00176055" w:rsidRDefault="00176055" w:rsidP="00176055">
      <w:pPr>
        <w:numPr>
          <w:ilvl w:val="3"/>
          <w:numId w:val="2"/>
        </w:numPr>
        <w:overflowPunct/>
        <w:autoSpaceDE/>
        <w:autoSpaceDN/>
        <w:adjustRightInd/>
        <w:spacing w:before="100" w:beforeAutospacing="1" w:after="240"/>
        <w:jc w:val="both"/>
        <w:textAlignment w:val="auto"/>
        <w:rPr>
          <w:lang w:val="es-MX"/>
        </w:rPr>
      </w:pPr>
      <w:r w:rsidRPr="00176055">
        <w:rPr>
          <w:b/>
          <w:bCs/>
          <w:lang w:val="es-MX"/>
        </w:rPr>
        <w:t>Vulnerable and Outdated Components.</w:t>
      </w:r>
      <w:r w:rsidRPr="00176055">
        <w:rPr>
          <w:lang w:val="es-MX"/>
        </w:rPr>
        <w:t xml:space="preserve"> La categoría componentes vulnerables y obsoletos, por ejemplo, si el software es vulnerable, no es compatible o está desactualizado. Esto incluye el sistema operativo, el servidor web/de aplicaciones, el sistema de administración de bases de datos (DBMS), las aplicaciones, las API y todos los componentes, los entornos de tiempo de ejecución y las bibliotecas.</w:t>
      </w:r>
    </w:p>
    <w:p w14:paraId="1D802966" w14:textId="04B12609" w:rsidR="00176055" w:rsidRPr="00176055" w:rsidRDefault="00176055" w:rsidP="00176055">
      <w:pPr>
        <w:numPr>
          <w:ilvl w:val="3"/>
          <w:numId w:val="2"/>
        </w:numPr>
        <w:overflowPunct/>
        <w:autoSpaceDE/>
        <w:autoSpaceDN/>
        <w:adjustRightInd/>
        <w:spacing w:before="100" w:beforeAutospacing="1" w:after="240"/>
        <w:jc w:val="both"/>
        <w:textAlignment w:val="auto"/>
        <w:rPr>
          <w:lang w:val="es-MX"/>
        </w:rPr>
      </w:pPr>
      <w:r w:rsidRPr="00176055">
        <w:rPr>
          <w:b/>
          <w:bCs/>
          <w:lang w:val="es-MX"/>
        </w:rPr>
        <w:t>Identification and Authentication Failures.</w:t>
      </w:r>
      <w:r w:rsidRPr="00176055">
        <w:rPr>
          <w:lang w:val="es-MX"/>
        </w:rPr>
        <w:t xml:space="preserve"> Las fallas de identificación y autenticación, anteriormente conocida como autenticación rota, esta relacionados con fallas de identificación. La confirmación de la identidad del usuario, la autenticación y la administración de la sesión son fundamentales para protegerse contra los ataques relacionados con la autenticación.</w:t>
      </w:r>
    </w:p>
    <w:p w14:paraId="7D45114C" w14:textId="69A1EC45" w:rsidR="00176055" w:rsidRPr="00176055" w:rsidRDefault="00176055" w:rsidP="00176055">
      <w:pPr>
        <w:numPr>
          <w:ilvl w:val="3"/>
          <w:numId w:val="2"/>
        </w:numPr>
        <w:overflowPunct/>
        <w:autoSpaceDE/>
        <w:autoSpaceDN/>
        <w:adjustRightInd/>
        <w:spacing w:before="100" w:beforeAutospacing="1" w:after="240"/>
        <w:jc w:val="both"/>
        <w:textAlignment w:val="auto"/>
        <w:rPr>
          <w:lang w:val="es-MX"/>
        </w:rPr>
      </w:pPr>
      <w:r w:rsidRPr="00176055">
        <w:rPr>
          <w:b/>
          <w:bCs/>
        </w:rPr>
        <w:t>Software and Data Integrity Failures.</w:t>
      </w:r>
      <w:r w:rsidRPr="00176055">
        <w:t xml:space="preserve"> </w:t>
      </w:r>
      <w:r w:rsidRPr="00176055">
        <w:rPr>
          <w:lang w:val="es-MX"/>
        </w:rPr>
        <w:t xml:space="preserve">Las fallas en la integridad del software y los datos se centran en actualizaciones de software, datos críticos sin verificar la integridad.  Las fallas en la integridad del software y los datos se relacionan con el código y la infraestructura que no protegen contra las violaciones de la integridad. Un ejemplo de esto es cuando una aplicación se basa en complementos, bibliotecas o módulos de fuentes, repositorios y redes de entrega de contenido que no son de confianza. </w:t>
      </w:r>
    </w:p>
    <w:p w14:paraId="162E7398" w14:textId="60BC7CC3" w:rsidR="00176055" w:rsidRPr="00176055" w:rsidRDefault="00176055" w:rsidP="00176055">
      <w:pPr>
        <w:numPr>
          <w:ilvl w:val="3"/>
          <w:numId w:val="2"/>
        </w:numPr>
        <w:overflowPunct/>
        <w:autoSpaceDE/>
        <w:autoSpaceDN/>
        <w:adjustRightInd/>
        <w:spacing w:before="100" w:beforeAutospacing="1" w:after="240"/>
        <w:jc w:val="both"/>
        <w:textAlignment w:val="auto"/>
        <w:rPr>
          <w:lang w:val="es-MX"/>
        </w:rPr>
      </w:pPr>
      <w:r w:rsidRPr="00176055">
        <w:rPr>
          <w:b/>
          <w:bCs/>
        </w:rPr>
        <w:t>Security Logging and Monitoring Failures.</w:t>
      </w:r>
      <w:r w:rsidRPr="00176055">
        <w:t xml:space="preserve"> </w:t>
      </w:r>
      <w:r w:rsidRPr="00176055">
        <w:rPr>
          <w:lang w:val="es-MX"/>
        </w:rPr>
        <w:t xml:space="preserve">Registro de seguridad y fallas de monitoreo, es para ayudar a detectar, escalar y responder a infracciones activas, tales como eventos auditables, como inicios de sesión, inicios de sesión fallidos y transacciones de alto valor, no se registran. Las advertencias y los errores generan mensajes de registro inexistentes, inadecuados o poco claros. Los registros de aplicaciones y API no se supervisan en busca de actividad sospechosa, entre otras. Estas categorías pueden afectar directamente la visibilidad, las alertas de incidentes y los análisis forenses. </w:t>
      </w:r>
    </w:p>
    <w:p w14:paraId="2559E6D5" w14:textId="5D1CE52D" w:rsidR="006707C5" w:rsidRDefault="00176055" w:rsidP="00176055">
      <w:pPr>
        <w:numPr>
          <w:ilvl w:val="3"/>
          <w:numId w:val="2"/>
        </w:numPr>
        <w:overflowPunct/>
        <w:autoSpaceDE/>
        <w:autoSpaceDN/>
        <w:adjustRightInd/>
        <w:spacing w:before="100" w:beforeAutospacing="1" w:after="240"/>
        <w:ind w:left="2268" w:hanging="828"/>
        <w:jc w:val="both"/>
        <w:textAlignment w:val="auto"/>
        <w:rPr>
          <w:lang w:val="es-MX"/>
        </w:rPr>
      </w:pPr>
      <w:r w:rsidRPr="00176055">
        <w:rPr>
          <w:b/>
          <w:bCs/>
          <w:lang w:val="es-MX"/>
        </w:rPr>
        <w:t>Server-Side Request Forgery.</w:t>
      </w:r>
      <w:r w:rsidRPr="00176055">
        <w:rPr>
          <w:lang w:val="es-MX"/>
        </w:rPr>
        <w:t xml:space="preserve"> La falsificación de solicitud del lado del servidor (SSRF) ocurren cada vez que una aplicación web obtiene un recurso remoto sin validar la URL proporcionada por el usuario. Permite que un atacante obligue a la aplicación a enviar una solicitud manipulada a un destino inesperado, incluso cuando está protegida por un firewall, VPN u otro tipo de lista de control de acceso a la red (ACL Access Control List).</w:t>
      </w:r>
    </w:p>
    <w:p w14:paraId="28B36362" w14:textId="3BF2983A" w:rsidR="00176055" w:rsidRDefault="007F6DEF" w:rsidP="007F6DEF">
      <w:pPr>
        <w:numPr>
          <w:ilvl w:val="1"/>
          <w:numId w:val="2"/>
        </w:numPr>
        <w:overflowPunct/>
        <w:autoSpaceDE/>
        <w:autoSpaceDN/>
        <w:adjustRightInd/>
        <w:spacing w:before="100" w:beforeAutospacing="1" w:after="240"/>
        <w:jc w:val="both"/>
        <w:textAlignment w:val="auto"/>
        <w:rPr>
          <w:b/>
          <w:bCs/>
          <w:lang w:val="es-MX"/>
        </w:rPr>
      </w:pPr>
      <w:r w:rsidRPr="007F6DEF">
        <w:rPr>
          <w:b/>
          <w:bCs/>
          <w:lang w:val="es-MX"/>
        </w:rPr>
        <w:t>Herramientas de Escaneo de Código.</w:t>
      </w:r>
    </w:p>
    <w:p w14:paraId="1BF3B12C" w14:textId="6BC3E36F" w:rsidR="0013263F" w:rsidRPr="0013263F" w:rsidRDefault="0013263F" w:rsidP="0013263F">
      <w:pPr>
        <w:numPr>
          <w:ilvl w:val="2"/>
          <w:numId w:val="2"/>
        </w:numPr>
        <w:overflowPunct/>
        <w:autoSpaceDE/>
        <w:autoSpaceDN/>
        <w:adjustRightInd/>
        <w:spacing w:before="100" w:beforeAutospacing="1" w:after="240"/>
        <w:jc w:val="both"/>
        <w:textAlignment w:val="auto"/>
        <w:rPr>
          <w:lang w:val="es-MX"/>
        </w:rPr>
      </w:pPr>
      <w:r w:rsidRPr="0013263F">
        <w:rPr>
          <w:b/>
          <w:bCs/>
          <w:lang w:val="es-MX"/>
        </w:rPr>
        <w:t xml:space="preserve">Las herramientas de análisis de código fuente, también conocidas como herramientas de </w:t>
      </w:r>
      <w:r w:rsidRPr="0013263F">
        <w:rPr>
          <w:lang w:val="es-MX"/>
        </w:rPr>
        <w:t>prueba de seguridad de aplicaciones estáticas (SAST), pueden ayudar a analizar el código fuente o las versiones compiladas del código para ayudar a encontrar fallas de seguridad.  Las herramientas SAST se pueden agregar al IDE. La retroalimentación de estas herramientas puede ahorrar tiempo y esfuerzo, en comparación con la búsqueda de vulnerabilidades más adelante en el ciclo de desarrollo.</w:t>
      </w:r>
    </w:p>
    <w:p w14:paraId="6EE0A3C6" w14:textId="5A1C65FC" w:rsidR="0013263F" w:rsidRPr="0013263F" w:rsidRDefault="0013263F" w:rsidP="0013263F">
      <w:pPr>
        <w:numPr>
          <w:ilvl w:val="2"/>
          <w:numId w:val="2"/>
        </w:numPr>
        <w:overflowPunct/>
        <w:autoSpaceDE/>
        <w:autoSpaceDN/>
        <w:adjustRightInd/>
        <w:spacing w:before="100" w:beforeAutospacing="1" w:after="240"/>
        <w:jc w:val="both"/>
        <w:textAlignment w:val="auto"/>
        <w:rPr>
          <w:lang w:val="es-MX"/>
        </w:rPr>
      </w:pPr>
      <w:r w:rsidRPr="0013263F">
        <w:rPr>
          <w:lang w:val="es-MX"/>
        </w:rPr>
        <w:t xml:space="preserve">Se toman de referencia las herramientas de escaneo de código publicadas en OWASP </w:t>
      </w:r>
      <w:hyperlink r:id="rId16" w:history="1">
        <w:r w:rsidRPr="009775E0">
          <w:rPr>
            <w:rStyle w:val="Hipervnculo"/>
            <w:lang w:val="es-MX"/>
          </w:rPr>
          <w:t>https://owasp.org/www-community/Source_Code_Analysis_Tools</w:t>
        </w:r>
      </w:hyperlink>
      <w:r w:rsidRPr="0013263F">
        <w:rPr>
          <w:lang w:val="es-MX"/>
        </w:rPr>
        <w:t>.</w:t>
      </w:r>
      <w:r>
        <w:rPr>
          <w:lang w:val="es-MX"/>
        </w:rPr>
        <w:t xml:space="preserve"> </w:t>
      </w:r>
      <w:r w:rsidRPr="0013263F">
        <w:rPr>
          <w:lang w:val="es-MX"/>
        </w:rPr>
        <w:t xml:space="preserve">Debido a los lenguajes de </w:t>
      </w:r>
      <w:r w:rsidRPr="0013263F">
        <w:rPr>
          <w:lang w:val="es-MX"/>
        </w:rPr>
        <w:lastRenderedPageBreak/>
        <w:t>programación implementados y para efectos evaluación, las herramientas Coverity, AppScan Source y SecureAssist, representan las primeras alternativas, pero queda abierta la elección de acuerdo a la tecnología en que fue codificado el desarrollo.</w:t>
      </w:r>
    </w:p>
    <w:p w14:paraId="47686F25" w14:textId="77777777" w:rsidR="001B35B2" w:rsidRDefault="001B35B2" w:rsidP="001B35B2">
      <w:pPr>
        <w:pStyle w:val="Encabezado"/>
        <w:tabs>
          <w:tab w:val="clear" w:pos="4320"/>
          <w:tab w:val="clear" w:pos="8640"/>
        </w:tabs>
        <w:spacing w:beforeLines="50" w:before="120" w:afterLines="50" w:after="120"/>
        <w:ind w:left="644"/>
        <w:jc w:val="both"/>
        <w:rPr>
          <w:rFonts w:cs="Arial"/>
          <w:b/>
          <w:bCs/>
          <w:sz w:val="22"/>
          <w:szCs w:val="22"/>
          <w:lang w:val="es-MX"/>
        </w:rPr>
      </w:pPr>
    </w:p>
    <w:p w14:paraId="6A107FB9" w14:textId="2E81DF83"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6500C0" w:rsidRPr="00AC2312" w14:paraId="4BA5475C" w14:textId="77777777" w:rsidTr="009376F0">
        <w:trPr>
          <w:trHeight w:val="356"/>
          <w:jc w:val="center"/>
        </w:trPr>
        <w:tc>
          <w:tcPr>
            <w:tcW w:w="1946" w:type="dxa"/>
            <w:vAlign w:val="center"/>
          </w:tcPr>
          <w:p w14:paraId="117084A6" w14:textId="06FAE98E" w:rsidR="006500C0" w:rsidRPr="00F1397F" w:rsidRDefault="00AC2312" w:rsidP="004F3E01">
            <w:pPr>
              <w:spacing w:line="260" w:lineRule="auto"/>
              <w:jc w:val="center"/>
              <w:rPr>
                <w:rFonts w:cs="Arial"/>
                <w:color w:val="000000"/>
                <w:lang w:val="es-MX"/>
              </w:rPr>
            </w:pPr>
            <w:r>
              <w:rPr>
                <w:lang w:val="es-MX"/>
              </w:rPr>
              <w:t>SF</w:t>
            </w:r>
            <w:r w:rsidR="004F3E01" w:rsidRPr="004F3E01">
              <w:rPr>
                <w:lang w:val="es-MX"/>
              </w:rPr>
              <w:t>-G-01</w:t>
            </w:r>
          </w:p>
        </w:tc>
        <w:tc>
          <w:tcPr>
            <w:tcW w:w="8402" w:type="dxa"/>
            <w:vAlign w:val="center"/>
          </w:tcPr>
          <w:p w14:paraId="249D8FE0" w14:textId="5C3D4DFA" w:rsidR="006500C0" w:rsidRPr="00F1397F" w:rsidRDefault="006500C0" w:rsidP="006500C0">
            <w:pPr>
              <w:spacing w:line="260" w:lineRule="auto"/>
              <w:jc w:val="center"/>
              <w:rPr>
                <w:rFonts w:cs="Arial"/>
                <w:color w:val="000000"/>
                <w:lang w:val="es-MX"/>
              </w:rPr>
            </w:pPr>
            <w:r w:rsidRPr="00BC4022">
              <w:rPr>
                <w:lang w:val="es-MX"/>
              </w:rPr>
              <w:t>G</w:t>
            </w:r>
            <w:r>
              <w:rPr>
                <w:lang w:val="es-MX"/>
              </w:rPr>
              <w:t>uía de modelos para ciclo de vida</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CB49BF" w:rsidRPr="007379E6" w14:paraId="20A172E1" w14:textId="77777777" w:rsidTr="009376F0">
        <w:trPr>
          <w:trHeight w:val="320"/>
          <w:jc w:val="center"/>
        </w:trPr>
        <w:tc>
          <w:tcPr>
            <w:tcW w:w="1743" w:type="dxa"/>
            <w:vAlign w:val="center"/>
          </w:tcPr>
          <w:p w14:paraId="6B740379" w14:textId="1561BECB" w:rsidR="00CB49BF" w:rsidRPr="007379E6" w:rsidRDefault="00327582" w:rsidP="00CB49BF">
            <w:pPr>
              <w:spacing w:line="260" w:lineRule="auto"/>
              <w:jc w:val="center"/>
              <w:rPr>
                <w:lang w:val="es-MX"/>
              </w:rPr>
            </w:pPr>
            <w:r>
              <w:rPr>
                <w:lang w:val="es-MX"/>
              </w:rPr>
              <w:t>N/A</w:t>
            </w:r>
          </w:p>
        </w:tc>
        <w:tc>
          <w:tcPr>
            <w:tcW w:w="3150" w:type="dxa"/>
            <w:vAlign w:val="center"/>
          </w:tcPr>
          <w:p w14:paraId="5CB63603" w14:textId="6EADEBD7" w:rsidR="00CB49BF" w:rsidRPr="007379E6" w:rsidRDefault="00327582" w:rsidP="00CB49BF">
            <w:pPr>
              <w:pStyle w:val="Encabezado"/>
              <w:spacing w:line="260" w:lineRule="auto"/>
              <w:jc w:val="center"/>
              <w:rPr>
                <w:lang w:val="es-MX"/>
              </w:rPr>
            </w:pPr>
            <w:r>
              <w:rPr>
                <w:lang w:val="es-MX"/>
              </w:rPr>
              <w:t>-</w:t>
            </w:r>
          </w:p>
        </w:tc>
        <w:tc>
          <w:tcPr>
            <w:tcW w:w="1485" w:type="dxa"/>
            <w:vAlign w:val="center"/>
          </w:tcPr>
          <w:p w14:paraId="5542F112" w14:textId="5C38EC9D" w:rsidR="00CB49BF" w:rsidRPr="007379E6" w:rsidRDefault="00327582" w:rsidP="00CB49BF">
            <w:pPr>
              <w:spacing w:line="260" w:lineRule="auto"/>
              <w:jc w:val="center"/>
              <w:rPr>
                <w:rFonts w:cs="Arial"/>
                <w:color w:val="000000"/>
                <w:lang w:val="es-MX"/>
              </w:rPr>
            </w:pPr>
            <w:r>
              <w:rPr>
                <w:rFonts w:cs="Arial"/>
                <w:color w:val="000000"/>
                <w:lang w:val="es-MX"/>
              </w:rPr>
              <w:t>-</w:t>
            </w:r>
          </w:p>
        </w:tc>
        <w:tc>
          <w:tcPr>
            <w:tcW w:w="2175" w:type="dxa"/>
            <w:vAlign w:val="center"/>
          </w:tcPr>
          <w:p w14:paraId="04273388" w14:textId="064BCC13" w:rsidR="00CB49BF" w:rsidRPr="007379E6" w:rsidRDefault="00327582" w:rsidP="00CB49BF">
            <w:pPr>
              <w:pStyle w:val="Encabezado"/>
              <w:spacing w:line="260" w:lineRule="auto"/>
              <w:jc w:val="center"/>
              <w:rPr>
                <w:rFonts w:cs="Arial"/>
                <w:color w:val="000000"/>
                <w:lang w:val="es-MX"/>
              </w:rPr>
            </w:pPr>
            <w:r>
              <w:rPr>
                <w:rFonts w:cs="Arial"/>
                <w:color w:val="000000"/>
                <w:lang w:val="es-MX"/>
              </w:rPr>
              <w:t>-</w:t>
            </w:r>
          </w:p>
        </w:tc>
        <w:tc>
          <w:tcPr>
            <w:tcW w:w="1876" w:type="dxa"/>
            <w:vAlign w:val="center"/>
          </w:tcPr>
          <w:p w14:paraId="6EF0A2C6" w14:textId="7A767314" w:rsidR="00CB49BF" w:rsidRPr="007379E6" w:rsidRDefault="00327582" w:rsidP="00CB49BF">
            <w:pPr>
              <w:spacing w:line="260" w:lineRule="auto"/>
              <w:jc w:val="center"/>
              <w:rPr>
                <w:rFonts w:cs="Arial"/>
                <w:color w:val="000000"/>
                <w:lang w:val="es-MX"/>
              </w:rPr>
            </w:pPr>
            <w:r>
              <w:rPr>
                <w:rFonts w:cs="Arial"/>
                <w:color w:val="000000"/>
                <w:lang w:val="es-MX"/>
              </w:rPr>
              <w:t>-</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4D0A0C31" w14:textId="5524659C" w:rsidR="006500C0" w:rsidRPr="006500C0" w:rsidRDefault="006500C0" w:rsidP="006500C0">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6500C0">
        <w:rPr>
          <w:rFonts w:cs="Arial"/>
          <w:b/>
          <w:bCs/>
          <w:sz w:val="22"/>
          <w:szCs w:val="22"/>
          <w:lang w:val="es-MX"/>
        </w:rPr>
        <w:t>Glosario</w:t>
      </w:r>
    </w:p>
    <w:p w14:paraId="12352CE9" w14:textId="77777777" w:rsidR="004A4183" w:rsidRPr="004A4183" w:rsidRDefault="004A4183" w:rsidP="004A4183">
      <w:pPr>
        <w:pStyle w:val="Encabezado"/>
        <w:numPr>
          <w:ilvl w:val="1"/>
          <w:numId w:val="2"/>
        </w:numPr>
        <w:spacing w:beforeLines="50" w:before="120" w:afterLines="50" w:after="120"/>
        <w:jc w:val="both"/>
        <w:rPr>
          <w:rFonts w:cs="Arial"/>
          <w:lang w:val="es-MX"/>
        </w:rPr>
      </w:pPr>
      <w:r w:rsidRPr="004A4183">
        <w:rPr>
          <w:rFonts w:cs="Arial"/>
          <w:lang w:val="es-MX"/>
        </w:rPr>
        <w:t>SAST: Static Application Security Testing (Pruebas de seguridad para aplicaciones estadísticas).</w:t>
      </w:r>
    </w:p>
    <w:p w14:paraId="1D08A8BC" w14:textId="77777777" w:rsidR="004A4183" w:rsidRPr="004A4183" w:rsidRDefault="004A4183" w:rsidP="004A4183">
      <w:pPr>
        <w:pStyle w:val="Encabezado"/>
        <w:numPr>
          <w:ilvl w:val="1"/>
          <w:numId w:val="2"/>
        </w:numPr>
        <w:spacing w:beforeLines="50" w:before="120" w:afterLines="50" w:after="120"/>
        <w:jc w:val="both"/>
        <w:rPr>
          <w:rFonts w:cs="Arial"/>
          <w:lang w:val="es-MX"/>
        </w:rPr>
      </w:pPr>
      <w:r w:rsidRPr="004A4183">
        <w:rPr>
          <w:rFonts w:cs="Arial"/>
          <w:lang w:val="es-MX"/>
        </w:rPr>
        <w:t>Firewall: Sistema de seguridad de red de las computadoras que restringe el tráfico de Internet entrante, saliente o dentro de una red privada.</w:t>
      </w:r>
    </w:p>
    <w:p w14:paraId="2EA8862C" w14:textId="2F7793F5" w:rsidR="006500C0" w:rsidRPr="004A4183" w:rsidRDefault="004A4183" w:rsidP="004A4183">
      <w:pPr>
        <w:pStyle w:val="Encabezado"/>
        <w:numPr>
          <w:ilvl w:val="1"/>
          <w:numId w:val="2"/>
        </w:numPr>
        <w:spacing w:beforeLines="50" w:before="120" w:afterLines="50" w:after="120"/>
        <w:jc w:val="both"/>
        <w:rPr>
          <w:rFonts w:cs="Arial"/>
          <w:lang w:val="es-MX"/>
        </w:rPr>
      </w:pPr>
      <w:r w:rsidRPr="004A4183">
        <w:rPr>
          <w:rFonts w:cs="Arial"/>
          <w:lang w:val="es-MX"/>
        </w:rPr>
        <w:t>IDE: entorno de desarrollo integrado.</w:t>
      </w:r>
    </w:p>
    <w:p w14:paraId="6A437B2F" w14:textId="77777777" w:rsidR="006500C0" w:rsidRDefault="006500C0" w:rsidP="006500C0">
      <w:pPr>
        <w:pStyle w:val="Encabezado"/>
        <w:tabs>
          <w:tab w:val="clear" w:pos="4320"/>
          <w:tab w:val="clear" w:pos="8640"/>
        </w:tabs>
        <w:spacing w:beforeLines="50" w:before="120" w:afterLines="50" w:after="120"/>
        <w:ind w:left="644"/>
        <w:jc w:val="both"/>
        <w:rPr>
          <w:rFonts w:cs="Arial"/>
          <w:lang w:val="es-MX"/>
        </w:rPr>
      </w:pPr>
    </w:p>
    <w:p w14:paraId="2E24B279" w14:textId="03C6FDD0" w:rsidR="006500C0" w:rsidRPr="006500C0" w:rsidRDefault="006500C0" w:rsidP="006500C0">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6500C0">
        <w:rPr>
          <w:rFonts w:cs="Arial"/>
          <w:b/>
          <w:bCs/>
          <w:sz w:val="22"/>
          <w:szCs w:val="22"/>
          <w:lang w:val="es-MX"/>
        </w:rPr>
        <w:t>Anexos</w:t>
      </w:r>
    </w:p>
    <w:p w14:paraId="20D5F108" w14:textId="76203846" w:rsidR="006500C0" w:rsidRPr="00E8237D" w:rsidRDefault="006500C0" w:rsidP="006500C0">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sectPr w:rsidR="006500C0" w:rsidRPr="00E8237D" w:rsidSect="00872F08">
      <w:headerReference w:type="even" r:id="rId17"/>
      <w:headerReference w:type="default" r:id="rId18"/>
      <w:footerReference w:type="default" r:id="rId19"/>
      <w:headerReference w:type="first" r:id="rId20"/>
      <w:footerReference w:type="first" r:id="rId21"/>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112FE" w14:textId="77777777" w:rsidR="00265375" w:rsidRDefault="00265375">
      <w:r>
        <w:separator/>
      </w:r>
    </w:p>
  </w:endnote>
  <w:endnote w:type="continuationSeparator" w:id="0">
    <w:p w14:paraId="1FFE8D6F" w14:textId="77777777" w:rsidR="00265375" w:rsidRDefault="0026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2E647BF2" w:rsidR="001E29EA" w:rsidRPr="001E32A6" w:rsidRDefault="00AC2312"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86459B" w:rsidRPr="001E32A6">
      <w:rPr>
        <w:sz w:val="14"/>
        <w:u w:val="single"/>
        <w:lang w:val="es-MX"/>
      </w:rPr>
      <w:t>.</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73B0D714"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AC2312">
            <w:rPr>
              <w:rStyle w:val="Nmerodepgina"/>
              <w:rFonts w:cs="Arial"/>
              <w:noProof/>
              <w:sz w:val="16"/>
            </w:rPr>
            <w:t>5</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AC2312">
            <w:rPr>
              <w:rStyle w:val="Nmerodepgina"/>
              <w:rFonts w:cs="Arial"/>
              <w:noProof/>
              <w:sz w:val="16"/>
            </w:rPr>
            <w:t>5</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AC2312" w14:paraId="075D73BF" w14:textId="77777777" w:rsidTr="001E32A6">
      <w:tc>
        <w:tcPr>
          <w:tcW w:w="10926" w:type="dxa"/>
        </w:tcPr>
        <w:p w14:paraId="6E2B1F52" w14:textId="7A732C15" w:rsidR="001E29EA" w:rsidRPr="001E32A6" w:rsidRDefault="00AC2312" w:rsidP="0058488B">
          <w:pPr>
            <w:pStyle w:val="Piedepgina"/>
            <w:jc w:val="center"/>
            <w:rPr>
              <w:sz w:val="16"/>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58488B" w:rsidRPr="001E32A6">
            <w:rPr>
              <w:sz w:val="14"/>
              <w:u w:val="single"/>
              <w:lang w:val="es-MX"/>
            </w:rPr>
            <w:t>.</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3615E4F7"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AC2312">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AC2312">
            <w:rPr>
              <w:rStyle w:val="Nmerodepgina"/>
              <w:rFonts w:cs="Arial"/>
              <w:noProof/>
              <w:sz w:val="16"/>
            </w:rPr>
            <w:t>5</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BF105" w14:textId="77777777" w:rsidR="00265375" w:rsidRDefault="00265375">
      <w:r>
        <w:separator/>
      </w:r>
    </w:p>
  </w:footnote>
  <w:footnote w:type="continuationSeparator" w:id="0">
    <w:p w14:paraId="45D7038A" w14:textId="77777777" w:rsidR="00265375" w:rsidRDefault="00265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4D01C578" w:rsidR="00B772EE" w:rsidRDefault="00B772EE">
    <w:pPr>
      <w:pStyle w:val="Encabezado"/>
    </w:pP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AC2312" w14:paraId="6EACD3D2" w14:textId="77777777" w:rsidTr="0086459B">
      <w:trPr>
        <w:cantSplit/>
        <w:trHeight w:val="708"/>
      </w:trPr>
      <w:tc>
        <w:tcPr>
          <w:tcW w:w="10671" w:type="dxa"/>
          <w:tcBorders>
            <w:bottom w:val="single" w:sz="12" w:space="0" w:color="5B9BD5" w:themeColor="accent1"/>
          </w:tcBorders>
          <w:vAlign w:val="center"/>
        </w:tcPr>
        <w:p w14:paraId="6B2B6FC8" w14:textId="77777777" w:rsidR="00AC2312" w:rsidRPr="006B28E8" w:rsidRDefault="00AC2312" w:rsidP="00AC2312">
          <w:pPr>
            <w:jc w:val="center"/>
            <w:rPr>
              <w:b/>
              <w:lang w:val="es-MX"/>
            </w:rPr>
          </w:pPr>
          <w:r w:rsidRPr="006B28E8">
            <w:rPr>
              <w:b/>
              <w:lang w:val="es-MX"/>
            </w:rPr>
            <w:t>Sendero Fuel,</w:t>
          </w:r>
        </w:p>
        <w:p w14:paraId="42E6A2A9" w14:textId="7C6C48A2" w:rsidR="0086459B" w:rsidRPr="0086459B" w:rsidRDefault="00AC2312" w:rsidP="00AC2312">
          <w:pPr>
            <w:pStyle w:val="Encabezado"/>
            <w:jc w:val="center"/>
            <w:rPr>
              <w:b/>
              <w:lang w:val="es-MX"/>
            </w:rPr>
          </w:pPr>
          <w:r w:rsidRPr="006B28E8">
            <w:rPr>
              <w:b/>
              <w:lang w:val="es-MX"/>
            </w:rPr>
            <w:t>S.A. de C.V.</w:t>
          </w:r>
        </w:p>
      </w:tc>
    </w:tr>
  </w:tbl>
  <w:p w14:paraId="4F456931" w14:textId="58016109" w:rsidR="00595320" w:rsidRPr="008360E0" w:rsidRDefault="00595320" w:rsidP="008360E0">
    <w:pPr>
      <w:pStyle w:val="Encabezado"/>
      <w:rPr>
        <w:lang w:val="es-MX"/>
      </w:rPr>
    </w:pP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7C365FAF" w:rsidR="00461A35" w:rsidRPr="00461A35" w:rsidRDefault="00461A35">
    <w:pPr>
      <w:rPr>
        <w:lang w:val="es-MX"/>
      </w:rPr>
    </w:pP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AC2312"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60333783" w:rsidR="00F855EF" w:rsidRPr="00CA7845" w:rsidRDefault="00AC2312" w:rsidP="00CA7845">
          <w:pPr>
            <w:overflowPunct/>
            <w:autoSpaceDE/>
            <w:autoSpaceDN/>
            <w:adjustRightInd/>
            <w:jc w:val="center"/>
            <w:textAlignment w:val="auto"/>
            <w:rPr>
              <w:color w:val="000000" w:themeColor="text1"/>
              <w:lang w:val="es-MX"/>
            </w:rPr>
          </w:pPr>
          <w:r>
            <w:rPr>
              <w:color w:val="000000" w:themeColor="text1"/>
              <w:lang w:val="es-MX"/>
            </w:rPr>
            <w:t>SF</w:t>
          </w:r>
          <w:r w:rsidR="004F3E01" w:rsidRPr="004F3E01">
            <w:rPr>
              <w:color w:val="000000" w:themeColor="text1"/>
              <w:lang w:val="es-MX"/>
            </w:rPr>
            <w:t>-POL-22</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5D6760F9" w:rsidR="00F855EF" w:rsidRPr="00CA7845" w:rsidRDefault="004F3E01"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5F19C435" w:rsidR="00F855EF" w:rsidRPr="00CA7845" w:rsidRDefault="00AC2312" w:rsidP="00FC17C9">
          <w:pPr>
            <w:overflowPunct/>
            <w:autoSpaceDE/>
            <w:autoSpaceDN/>
            <w:adjustRightInd/>
            <w:jc w:val="center"/>
            <w:textAlignment w:val="auto"/>
            <w:rPr>
              <w:color w:val="000000" w:themeColor="text1"/>
              <w:lang w:val="es-MX"/>
            </w:rPr>
          </w:pPr>
          <w:r>
            <w:rPr>
              <w:color w:val="000000" w:themeColor="text1"/>
              <w:lang w:val="es-MX"/>
            </w:rPr>
            <w:t>13-01-2026</w:t>
          </w:r>
        </w:p>
      </w:tc>
      <w:tc>
        <w:tcPr>
          <w:tcW w:w="2157" w:type="dxa"/>
          <w:vMerge w:val="restart"/>
          <w:tcBorders>
            <w:left w:val="single" w:sz="4" w:space="0" w:color="4472C4" w:themeColor="accent5"/>
          </w:tcBorders>
          <w:shd w:val="clear" w:color="auto" w:fill="FFFFFF" w:themeFill="background1"/>
          <w:vAlign w:val="center"/>
        </w:tcPr>
        <w:p w14:paraId="230B4E3A" w14:textId="77777777" w:rsidR="00AC2312" w:rsidRPr="00CA7845" w:rsidRDefault="00AC2312" w:rsidP="00AC2312">
          <w:pPr>
            <w:jc w:val="center"/>
            <w:rPr>
              <w:b/>
              <w:color w:val="000000" w:themeColor="text1"/>
              <w:sz w:val="24"/>
              <w:lang w:val="es-MX"/>
            </w:rPr>
          </w:pPr>
          <w:r>
            <w:rPr>
              <w:b/>
              <w:color w:val="000000" w:themeColor="text1"/>
              <w:sz w:val="24"/>
              <w:lang w:val="es-MX"/>
            </w:rPr>
            <w:t>Sendero Fuel</w:t>
          </w:r>
          <w:r w:rsidRPr="00CA7845">
            <w:rPr>
              <w:b/>
              <w:color w:val="000000" w:themeColor="text1"/>
              <w:sz w:val="24"/>
              <w:lang w:val="es-MX"/>
            </w:rPr>
            <w:t>,</w:t>
          </w:r>
        </w:p>
        <w:p w14:paraId="5C29729D" w14:textId="03C4C005" w:rsidR="00F855EF" w:rsidRPr="00CA7845" w:rsidRDefault="00AC2312" w:rsidP="00AC2312">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AC2312"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7B783A9B" w:rsidR="00F855EF" w:rsidRPr="00CA7845" w:rsidRDefault="004F3E01" w:rsidP="00872C12">
          <w:pPr>
            <w:jc w:val="center"/>
            <w:rPr>
              <w:color w:val="000000" w:themeColor="text1"/>
              <w:lang w:val="es-MX"/>
            </w:rPr>
          </w:pPr>
          <w:r w:rsidRPr="004F3E01">
            <w:rPr>
              <w:color w:val="000000" w:themeColor="text1"/>
              <w:lang w:val="es-MX"/>
            </w:rPr>
            <w:t>Lineamientos de Seguridad para Desarrollos de Software</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2C46C9FD" w:rsidR="00461A35" w:rsidRPr="00CA7845" w:rsidRDefault="00461A35" w:rsidP="00F855EF">
    <w:pPr>
      <w:rPr>
        <w:color w:val="000000" w:themeColor="text1"/>
        <w:lang w:val="es-MX"/>
      </w:rPr>
    </w:pPr>
    <w:r w:rsidRPr="00CA7845">
      <w:rPr>
        <w:b/>
        <w:color w:val="000000" w:themeColor="text1"/>
        <w:lang w:val="es-MX"/>
      </w:rPr>
      <w:t xml:space="preserve">Requisito aplicable: </w:t>
    </w:r>
    <w:r w:rsidR="004F3E01">
      <w:rPr>
        <w:b/>
        <w:color w:val="000000" w:themeColor="text1"/>
        <w:lang w:val="es-MX"/>
      </w:rPr>
      <w:t>53</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72B10E8"/>
    <w:multiLevelType w:val="hybridMultilevel"/>
    <w:tmpl w:val="86BA1E0E"/>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6"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9"/>
  </w:num>
  <w:num w:numId="3">
    <w:abstractNumId w:val="2"/>
  </w:num>
  <w:num w:numId="4">
    <w:abstractNumId w:val="3"/>
  </w:num>
  <w:num w:numId="5">
    <w:abstractNumId w:val="8"/>
  </w:num>
  <w:num w:numId="6">
    <w:abstractNumId w:val="0"/>
  </w:num>
  <w:num w:numId="7">
    <w:abstractNumId w:val="6"/>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7876"/>
    <w:rsid w:val="00044216"/>
    <w:rsid w:val="000477B2"/>
    <w:rsid w:val="00060C29"/>
    <w:rsid w:val="000625DD"/>
    <w:rsid w:val="000641CF"/>
    <w:rsid w:val="00065DCB"/>
    <w:rsid w:val="00072A66"/>
    <w:rsid w:val="00077459"/>
    <w:rsid w:val="000847B0"/>
    <w:rsid w:val="00086E8B"/>
    <w:rsid w:val="00096EFF"/>
    <w:rsid w:val="000A35D9"/>
    <w:rsid w:val="000A5E13"/>
    <w:rsid w:val="000B7599"/>
    <w:rsid w:val="000C0B86"/>
    <w:rsid w:val="000C551A"/>
    <w:rsid w:val="000E0218"/>
    <w:rsid w:val="000F40E9"/>
    <w:rsid w:val="000F5A0F"/>
    <w:rsid w:val="00101AC3"/>
    <w:rsid w:val="00103FA8"/>
    <w:rsid w:val="0011173F"/>
    <w:rsid w:val="0011207D"/>
    <w:rsid w:val="00116998"/>
    <w:rsid w:val="00117616"/>
    <w:rsid w:val="00124244"/>
    <w:rsid w:val="00127A6C"/>
    <w:rsid w:val="0013263F"/>
    <w:rsid w:val="00135DCC"/>
    <w:rsid w:val="001413A4"/>
    <w:rsid w:val="0014480E"/>
    <w:rsid w:val="0014576B"/>
    <w:rsid w:val="001460C0"/>
    <w:rsid w:val="00150E69"/>
    <w:rsid w:val="00152EC3"/>
    <w:rsid w:val="00154B4C"/>
    <w:rsid w:val="00155B09"/>
    <w:rsid w:val="00164324"/>
    <w:rsid w:val="0016754A"/>
    <w:rsid w:val="00176055"/>
    <w:rsid w:val="0018335F"/>
    <w:rsid w:val="00184698"/>
    <w:rsid w:val="001932C1"/>
    <w:rsid w:val="001A16B4"/>
    <w:rsid w:val="001B35B2"/>
    <w:rsid w:val="001B4601"/>
    <w:rsid w:val="001B7B90"/>
    <w:rsid w:val="001C0BC5"/>
    <w:rsid w:val="001C140D"/>
    <w:rsid w:val="001C4E00"/>
    <w:rsid w:val="001D0FF8"/>
    <w:rsid w:val="001E1F80"/>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AE5"/>
    <w:rsid w:val="00241F90"/>
    <w:rsid w:val="002514C1"/>
    <w:rsid w:val="00254B2A"/>
    <w:rsid w:val="0025730C"/>
    <w:rsid w:val="00257B47"/>
    <w:rsid w:val="002638EA"/>
    <w:rsid w:val="00265375"/>
    <w:rsid w:val="00270562"/>
    <w:rsid w:val="002728CA"/>
    <w:rsid w:val="00276D35"/>
    <w:rsid w:val="00282023"/>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136E3"/>
    <w:rsid w:val="0031400A"/>
    <w:rsid w:val="003152C9"/>
    <w:rsid w:val="00327582"/>
    <w:rsid w:val="003317E4"/>
    <w:rsid w:val="00334AF0"/>
    <w:rsid w:val="003472A3"/>
    <w:rsid w:val="003474D0"/>
    <w:rsid w:val="00355A3E"/>
    <w:rsid w:val="00370324"/>
    <w:rsid w:val="00375A51"/>
    <w:rsid w:val="00380DBB"/>
    <w:rsid w:val="00383352"/>
    <w:rsid w:val="003840CF"/>
    <w:rsid w:val="0038413F"/>
    <w:rsid w:val="00386450"/>
    <w:rsid w:val="003962CB"/>
    <w:rsid w:val="003A1BD7"/>
    <w:rsid w:val="003A23D7"/>
    <w:rsid w:val="003C7450"/>
    <w:rsid w:val="003D0FF9"/>
    <w:rsid w:val="003E51EA"/>
    <w:rsid w:val="003F18E7"/>
    <w:rsid w:val="003F596B"/>
    <w:rsid w:val="004006DA"/>
    <w:rsid w:val="004055FB"/>
    <w:rsid w:val="004137F3"/>
    <w:rsid w:val="00431749"/>
    <w:rsid w:val="00433514"/>
    <w:rsid w:val="00436E2E"/>
    <w:rsid w:val="004418AE"/>
    <w:rsid w:val="00454397"/>
    <w:rsid w:val="00454528"/>
    <w:rsid w:val="00457E4B"/>
    <w:rsid w:val="00461A35"/>
    <w:rsid w:val="00467F91"/>
    <w:rsid w:val="00475516"/>
    <w:rsid w:val="00477C4E"/>
    <w:rsid w:val="00487660"/>
    <w:rsid w:val="00495065"/>
    <w:rsid w:val="00495C86"/>
    <w:rsid w:val="004A4183"/>
    <w:rsid w:val="004B265C"/>
    <w:rsid w:val="004B6402"/>
    <w:rsid w:val="004B7B80"/>
    <w:rsid w:val="004C229D"/>
    <w:rsid w:val="004C3F4D"/>
    <w:rsid w:val="004D1E20"/>
    <w:rsid w:val="004D37F0"/>
    <w:rsid w:val="004D62EA"/>
    <w:rsid w:val="004F3E01"/>
    <w:rsid w:val="004F471C"/>
    <w:rsid w:val="005175FE"/>
    <w:rsid w:val="00522EA6"/>
    <w:rsid w:val="00524797"/>
    <w:rsid w:val="00544A97"/>
    <w:rsid w:val="0057148E"/>
    <w:rsid w:val="00575495"/>
    <w:rsid w:val="00576301"/>
    <w:rsid w:val="0058488B"/>
    <w:rsid w:val="00587DD0"/>
    <w:rsid w:val="00595320"/>
    <w:rsid w:val="005C49DE"/>
    <w:rsid w:val="005C4E70"/>
    <w:rsid w:val="005C5118"/>
    <w:rsid w:val="005E2E22"/>
    <w:rsid w:val="005F5C37"/>
    <w:rsid w:val="006010A7"/>
    <w:rsid w:val="00603733"/>
    <w:rsid w:val="006056EC"/>
    <w:rsid w:val="00607CA3"/>
    <w:rsid w:val="00613937"/>
    <w:rsid w:val="00615329"/>
    <w:rsid w:val="00621C09"/>
    <w:rsid w:val="00630E32"/>
    <w:rsid w:val="00634225"/>
    <w:rsid w:val="00636E43"/>
    <w:rsid w:val="00637C9D"/>
    <w:rsid w:val="006500C0"/>
    <w:rsid w:val="00651E6D"/>
    <w:rsid w:val="0065360F"/>
    <w:rsid w:val="00655C68"/>
    <w:rsid w:val="006619C4"/>
    <w:rsid w:val="0066466C"/>
    <w:rsid w:val="006707C5"/>
    <w:rsid w:val="0067415E"/>
    <w:rsid w:val="00674A11"/>
    <w:rsid w:val="00682ED1"/>
    <w:rsid w:val="006865B4"/>
    <w:rsid w:val="00687986"/>
    <w:rsid w:val="00694AA3"/>
    <w:rsid w:val="006A1258"/>
    <w:rsid w:val="006A7149"/>
    <w:rsid w:val="006B4925"/>
    <w:rsid w:val="006B5D74"/>
    <w:rsid w:val="006C1404"/>
    <w:rsid w:val="006C1A94"/>
    <w:rsid w:val="006D4211"/>
    <w:rsid w:val="006E4CB2"/>
    <w:rsid w:val="006F6A78"/>
    <w:rsid w:val="007009B6"/>
    <w:rsid w:val="00704F15"/>
    <w:rsid w:val="00712727"/>
    <w:rsid w:val="00712958"/>
    <w:rsid w:val="00713F41"/>
    <w:rsid w:val="00720799"/>
    <w:rsid w:val="00726EA1"/>
    <w:rsid w:val="00730B1E"/>
    <w:rsid w:val="00741187"/>
    <w:rsid w:val="007441D5"/>
    <w:rsid w:val="00751FF3"/>
    <w:rsid w:val="00765916"/>
    <w:rsid w:val="00766885"/>
    <w:rsid w:val="007776C1"/>
    <w:rsid w:val="00781113"/>
    <w:rsid w:val="007854C1"/>
    <w:rsid w:val="00790D9D"/>
    <w:rsid w:val="00791E18"/>
    <w:rsid w:val="00794B98"/>
    <w:rsid w:val="007A4DCF"/>
    <w:rsid w:val="007A6F3E"/>
    <w:rsid w:val="007C0766"/>
    <w:rsid w:val="007C1750"/>
    <w:rsid w:val="007C2048"/>
    <w:rsid w:val="007C47B5"/>
    <w:rsid w:val="007E21E6"/>
    <w:rsid w:val="007F6DEF"/>
    <w:rsid w:val="00800330"/>
    <w:rsid w:val="00801003"/>
    <w:rsid w:val="00811375"/>
    <w:rsid w:val="00813968"/>
    <w:rsid w:val="008342DA"/>
    <w:rsid w:val="008360E0"/>
    <w:rsid w:val="00837C85"/>
    <w:rsid w:val="0084112B"/>
    <w:rsid w:val="0086459B"/>
    <w:rsid w:val="00866607"/>
    <w:rsid w:val="00870518"/>
    <w:rsid w:val="00871BAA"/>
    <w:rsid w:val="008726ED"/>
    <w:rsid w:val="00872C12"/>
    <w:rsid w:val="00872F08"/>
    <w:rsid w:val="008742CA"/>
    <w:rsid w:val="00883B87"/>
    <w:rsid w:val="0088473B"/>
    <w:rsid w:val="0088643B"/>
    <w:rsid w:val="008B7B08"/>
    <w:rsid w:val="008C14D0"/>
    <w:rsid w:val="008C4B3C"/>
    <w:rsid w:val="008D527B"/>
    <w:rsid w:val="008E3DBF"/>
    <w:rsid w:val="00917D38"/>
    <w:rsid w:val="00921C73"/>
    <w:rsid w:val="009376F0"/>
    <w:rsid w:val="00944F55"/>
    <w:rsid w:val="00964163"/>
    <w:rsid w:val="00967599"/>
    <w:rsid w:val="00967BC0"/>
    <w:rsid w:val="0097281E"/>
    <w:rsid w:val="009774FF"/>
    <w:rsid w:val="009A0276"/>
    <w:rsid w:val="009A14E3"/>
    <w:rsid w:val="009A64CA"/>
    <w:rsid w:val="009B6690"/>
    <w:rsid w:val="009C104C"/>
    <w:rsid w:val="009C107D"/>
    <w:rsid w:val="009C2BF7"/>
    <w:rsid w:val="009D1B55"/>
    <w:rsid w:val="009D7D7E"/>
    <w:rsid w:val="009F5738"/>
    <w:rsid w:val="00A04073"/>
    <w:rsid w:val="00A106F0"/>
    <w:rsid w:val="00A26CA4"/>
    <w:rsid w:val="00A37248"/>
    <w:rsid w:val="00A535B7"/>
    <w:rsid w:val="00A53CEE"/>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2312"/>
    <w:rsid w:val="00AC344A"/>
    <w:rsid w:val="00AD74E3"/>
    <w:rsid w:val="00AE59C0"/>
    <w:rsid w:val="00AF3032"/>
    <w:rsid w:val="00B145B0"/>
    <w:rsid w:val="00B33B2C"/>
    <w:rsid w:val="00B37873"/>
    <w:rsid w:val="00B438AE"/>
    <w:rsid w:val="00B4697C"/>
    <w:rsid w:val="00B46F1A"/>
    <w:rsid w:val="00B50A17"/>
    <w:rsid w:val="00B54B15"/>
    <w:rsid w:val="00B54C64"/>
    <w:rsid w:val="00B608B4"/>
    <w:rsid w:val="00B6429D"/>
    <w:rsid w:val="00B65394"/>
    <w:rsid w:val="00B66EB0"/>
    <w:rsid w:val="00B772EE"/>
    <w:rsid w:val="00B848E2"/>
    <w:rsid w:val="00BA08A4"/>
    <w:rsid w:val="00BB4C90"/>
    <w:rsid w:val="00BB7846"/>
    <w:rsid w:val="00BC1C37"/>
    <w:rsid w:val="00BC68DA"/>
    <w:rsid w:val="00BD6CAD"/>
    <w:rsid w:val="00BD6D43"/>
    <w:rsid w:val="00BD755A"/>
    <w:rsid w:val="00BD7A76"/>
    <w:rsid w:val="00BE1BAE"/>
    <w:rsid w:val="00BE7A01"/>
    <w:rsid w:val="00BF0D1B"/>
    <w:rsid w:val="00C02C40"/>
    <w:rsid w:val="00C108C6"/>
    <w:rsid w:val="00C15ACA"/>
    <w:rsid w:val="00C1668D"/>
    <w:rsid w:val="00C27F9A"/>
    <w:rsid w:val="00C3554C"/>
    <w:rsid w:val="00C57311"/>
    <w:rsid w:val="00C7394E"/>
    <w:rsid w:val="00C77FED"/>
    <w:rsid w:val="00C92727"/>
    <w:rsid w:val="00CA7845"/>
    <w:rsid w:val="00CB190A"/>
    <w:rsid w:val="00CB2F92"/>
    <w:rsid w:val="00CB49BF"/>
    <w:rsid w:val="00CB6A3B"/>
    <w:rsid w:val="00CC329C"/>
    <w:rsid w:val="00CC5AAA"/>
    <w:rsid w:val="00CD3DE0"/>
    <w:rsid w:val="00CD51F5"/>
    <w:rsid w:val="00CD5271"/>
    <w:rsid w:val="00CE6BD5"/>
    <w:rsid w:val="00CF2C4D"/>
    <w:rsid w:val="00CF62CD"/>
    <w:rsid w:val="00CF67BA"/>
    <w:rsid w:val="00CF69CE"/>
    <w:rsid w:val="00CF7049"/>
    <w:rsid w:val="00D0220D"/>
    <w:rsid w:val="00D025EB"/>
    <w:rsid w:val="00D050B8"/>
    <w:rsid w:val="00D10EB1"/>
    <w:rsid w:val="00D20613"/>
    <w:rsid w:val="00D21602"/>
    <w:rsid w:val="00D27AF7"/>
    <w:rsid w:val="00D43BEE"/>
    <w:rsid w:val="00D50DC7"/>
    <w:rsid w:val="00D620DA"/>
    <w:rsid w:val="00D64941"/>
    <w:rsid w:val="00D64E17"/>
    <w:rsid w:val="00DB73F3"/>
    <w:rsid w:val="00DB7BED"/>
    <w:rsid w:val="00DD3404"/>
    <w:rsid w:val="00DD4CBF"/>
    <w:rsid w:val="00DD645B"/>
    <w:rsid w:val="00DE6715"/>
    <w:rsid w:val="00DE79C3"/>
    <w:rsid w:val="00DF18CB"/>
    <w:rsid w:val="00DF25D6"/>
    <w:rsid w:val="00DF4895"/>
    <w:rsid w:val="00DF4E5A"/>
    <w:rsid w:val="00E07551"/>
    <w:rsid w:val="00E225F6"/>
    <w:rsid w:val="00E3122C"/>
    <w:rsid w:val="00E32644"/>
    <w:rsid w:val="00E41A8D"/>
    <w:rsid w:val="00E50371"/>
    <w:rsid w:val="00E5548F"/>
    <w:rsid w:val="00E64438"/>
    <w:rsid w:val="00E67F6D"/>
    <w:rsid w:val="00E721EE"/>
    <w:rsid w:val="00E8237D"/>
    <w:rsid w:val="00E92ED2"/>
    <w:rsid w:val="00E96256"/>
    <w:rsid w:val="00EA52F5"/>
    <w:rsid w:val="00EB725E"/>
    <w:rsid w:val="00EC3FCC"/>
    <w:rsid w:val="00EC50C6"/>
    <w:rsid w:val="00EC56B0"/>
    <w:rsid w:val="00ED5B94"/>
    <w:rsid w:val="00EE5FD9"/>
    <w:rsid w:val="00EF335C"/>
    <w:rsid w:val="00EF4C9C"/>
    <w:rsid w:val="00EF5493"/>
    <w:rsid w:val="00F1397F"/>
    <w:rsid w:val="00F247E5"/>
    <w:rsid w:val="00F2693F"/>
    <w:rsid w:val="00F34F98"/>
    <w:rsid w:val="00F3541B"/>
    <w:rsid w:val="00F417D4"/>
    <w:rsid w:val="00F4200F"/>
    <w:rsid w:val="00F610C0"/>
    <w:rsid w:val="00F61F05"/>
    <w:rsid w:val="00F64DC3"/>
    <w:rsid w:val="00F652F4"/>
    <w:rsid w:val="00F7134D"/>
    <w:rsid w:val="00F855EF"/>
    <w:rsid w:val="00F8751B"/>
    <w:rsid w:val="00F92BF2"/>
    <w:rsid w:val="00FA7C4B"/>
    <w:rsid w:val="00FB1053"/>
    <w:rsid w:val="00FB249F"/>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 w:type="character" w:styleId="Hipervnculo">
    <w:name w:val="Hyperlink"/>
    <w:basedOn w:val="Fuentedeprrafopredeter"/>
    <w:uiPriority w:val="99"/>
    <w:unhideWhenUsed/>
    <w:rsid w:val="007C1750"/>
    <w:rPr>
      <w:color w:val="0563C1" w:themeColor="hyperlink"/>
      <w:u w:val="single"/>
    </w:rPr>
  </w:style>
  <w:style w:type="character" w:customStyle="1" w:styleId="UnresolvedMention">
    <w:name w:val="Unresolved Mention"/>
    <w:basedOn w:val="Fuentedeprrafopredeter"/>
    <w:uiPriority w:val="99"/>
    <w:semiHidden/>
    <w:unhideWhenUsed/>
    <w:rsid w:val="007C1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wasp.org/www-pdf-archive/OWASP_SCP_Quick_Reference_Guide_v2.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owas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wasp.org/www-community/Source_Code_Analysis_Tool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wasp.org/Top10/"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2.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d1c11e9e-5d52-465f-89ed-23c3fd784888"/>
    <ds:schemaRef ds:uri="http://www.w3.org/XML/1998/namespace"/>
    <ds:schemaRef ds:uri="http://schemas.microsoft.com/office/2006/documentManagement/types"/>
    <ds:schemaRef ds:uri="5c526cf6-6d1d-4673-a2c2-fd262c1babb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6959</Characters>
  <Application>Microsoft Office Word</Application>
  <DocSecurity>0</DocSecurity>
  <PresentationFormat/>
  <Lines>57</Lines>
  <Paragraphs>16</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2</cp:revision>
  <cp:lastPrinted>2025-09-11T19:01:00Z</cp:lastPrinted>
  <dcterms:created xsi:type="dcterms:W3CDTF">2026-03-11T22:59:00Z</dcterms:created>
  <dcterms:modified xsi:type="dcterms:W3CDTF">2026-03-11T22:59:00Z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